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4D9E" w14:textId="77777777" w:rsidR="00C27610" w:rsidRDefault="002128B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>
        <w:rPr>
          <w:b/>
          <w:bCs/>
          <w:sz w:val="24"/>
          <w:szCs w:val="24"/>
        </w:rPr>
        <w:t xml:space="preserve"> BIBLIOGRAFÍA PROPUESTA</w:t>
      </w:r>
    </w:p>
    <w:p w14:paraId="47ABADA5" w14:textId="77777777" w:rsidR="00C27610" w:rsidRDefault="002128B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TRABAJO SOCIAL- PRIMER NIVEL</w:t>
      </w:r>
    </w:p>
    <w:p w14:paraId="2031678A" w14:textId="77777777" w:rsidR="00C27610" w:rsidRDefault="00C27610">
      <w:pPr>
        <w:rPr>
          <w:sz w:val="24"/>
          <w:szCs w:val="24"/>
        </w:rPr>
      </w:pPr>
    </w:p>
    <w:p w14:paraId="225DCF62" w14:textId="77777777" w:rsidR="00C27610" w:rsidRDefault="00C27610">
      <w:pPr>
        <w:rPr>
          <w:sz w:val="24"/>
          <w:szCs w:val="24"/>
        </w:rPr>
      </w:pPr>
    </w:p>
    <w:p w14:paraId="03E9A990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García, MH., Miota, A., Barranco Tirado, J.; Belda Grindley,C., Paéz Muñoz, E.,Rodríguez Gómez, S., Lafuente Robles, N. (2019) Salud Comunitaria Basada en activos. Guía breve. Granada. Escuela Andaluza de Salud Pública y Servicio Andaluz de Salud Disponibl</w:t>
      </w:r>
      <w:r>
        <w:rPr>
          <w:sz w:val="24"/>
          <w:szCs w:val="24"/>
        </w:rPr>
        <w:t>e https://www.easp.es/wp- content/uploads/dlm_uploads/2019/01/EASP_Guia_breve_SaludComActivos-FUM-05-12 18.pdf</w:t>
      </w:r>
    </w:p>
    <w:p w14:paraId="361AAD50" w14:textId="77777777" w:rsidR="00C27610" w:rsidRDefault="00C27610">
      <w:pPr>
        <w:jc w:val="both"/>
        <w:rPr>
          <w:sz w:val="24"/>
          <w:szCs w:val="24"/>
        </w:rPr>
      </w:pPr>
    </w:p>
    <w:p w14:paraId="3877B226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Carta de Ottawa para la Promoción de la Salud. I Conferencia Internacional sobre la Promoción de la Salud. Ottawa 1986. Disponible en: https://i</w:t>
      </w:r>
      <w:r>
        <w:rPr>
          <w:sz w:val="24"/>
          <w:szCs w:val="24"/>
        </w:rPr>
        <w:t>sg.org.ar/wp-content/uploads/2011/08/Carta Ottawa.pdf</w:t>
      </w:r>
    </w:p>
    <w:p w14:paraId="62FA3EB5" w14:textId="77777777" w:rsidR="00C27610" w:rsidRDefault="00C27610">
      <w:pPr>
        <w:jc w:val="both"/>
        <w:rPr>
          <w:sz w:val="24"/>
          <w:szCs w:val="24"/>
        </w:rPr>
      </w:pPr>
    </w:p>
    <w:p w14:paraId="35449CF7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Organización Mundial de la Salud (2011) Declaración Política de Río de Janeiro sobre los determinantes sociales de la salud. Disponible en: https://cdn.who.int/media/docs/default-source/documents/socia</w:t>
      </w:r>
      <w:r>
        <w:rPr>
          <w:sz w:val="24"/>
          <w:szCs w:val="24"/>
        </w:rPr>
        <w:t>l-determinants-of health/rio_political_declaration_spanish.pdf?sfvrsn=891f1a3b_5</w:t>
      </w:r>
    </w:p>
    <w:p w14:paraId="24468932" w14:textId="77777777" w:rsidR="00C27610" w:rsidRDefault="00C27610">
      <w:pPr>
        <w:jc w:val="both"/>
        <w:rPr>
          <w:sz w:val="24"/>
          <w:szCs w:val="24"/>
        </w:rPr>
      </w:pPr>
    </w:p>
    <w:p w14:paraId="410A185C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Ley 26.657 Derecho a la Protección de la Salud Mental. Disposiciones complementarias. Disponible en </w:t>
      </w:r>
      <w:hyperlink r:id="rId6">
        <w:r>
          <w:rPr>
            <w:color w:val="1155CC"/>
            <w:sz w:val="24"/>
            <w:szCs w:val="24"/>
            <w:u w:val="single"/>
          </w:rPr>
          <w:t>https://servicios.infoleg.gob.ar/infolegInternet/anexos/175000-179999/175977/norma.htm</w:t>
        </w:r>
      </w:hyperlink>
      <w:r>
        <w:rPr>
          <w:sz w:val="24"/>
          <w:szCs w:val="24"/>
        </w:rPr>
        <w:t xml:space="preserve">  y su Decreto Reglamentario N° 603/2013.</w:t>
      </w:r>
    </w:p>
    <w:p w14:paraId="3B55490E" w14:textId="77777777" w:rsidR="00C27610" w:rsidRDefault="00C27610">
      <w:pPr>
        <w:jc w:val="both"/>
        <w:rPr>
          <w:sz w:val="24"/>
          <w:szCs w:val="24"/>
        </w:rPr>
      </w:pPr>
    </w:p>
    <w:p w14:paraId="51E06A70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Danel, P., Pérez Ramírez, B. y Yarza de los Ríos, A. (2021). ¿Quién es el sujeto de la discapac</w:t>
      </w:r>
      <w:r>
        <w:rPr>
          <w:sz w:val="24"/>
          <w:szCs w:val="24"/>
        </w:rPr>
        <w:t>idad? Bs. As: CLACSO. Cap1 (pp.35-70)</w:t>
      </w:r>
    </w:p>
    <w:p w14:paraId="2960280D" w14:textId="77777777" w:rsidR="00C27610" w:rsidRDefault="00C27610">
      <w:pPr>
        <w:jc w:val="both"/>
        <w:rPr>
          <w:sz w:val="24"/>
          <w:szCs w:val="24"/>
        </w:rPr>
      </w:pPr>
    </w:p>
    <w:p w14:paraId="68ED3AA2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Robles, Claudio Omar (2024) Cuidarse para cuidar. La supervisión en trabajo social como imperativo ético-político. Rev. Servicios Sociales y Política Social, XLII (132), pp. 63 – 73</w:t>
      </w:r>
    </w:p>
    <w:p w14:paraId="6FEF56BA" w14:textId="77777777" w:rsidR="00C27610" w:rsidRDefault="00C27610">
      <w:pPr>
        <w:jc w:val="both"/>
        <w:rPr>
          <w:sz w:val="24"/>
          <w:szCs w:val="24"/>
        </w:rPr>
      </w:pPr>
    </w:p>
    <w:p w14:paraId="4BDF23C4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Corpas, J. (2020). Interseccionali</w:t>
      </w:r>
      <w:r>
        <w:rPr>
          <w:sz w:val="24"/>
          <w:szCs w:val="24"/>
        </w:rPr>
        <w:t xml:space="preserve">dad y trabajo social: perspectiva para el análisis de la desigualdad y la intervención social. En Rev. ConCienciaSocial. Revista digital de Trabajo Social. Vol. 3 (2020) Nro. Especial 2 - ISSN 2591-5339. Disponible en </w:t>
      </w:r>
      <w:hyperlink r:id="rId7">
        <w:r>
          <w:rPr>
            <w:color w:val="1155CC"/>
            <w:sz w:val="24"/>
            <w:szCs w:val="24"/>
            <w:u w:val="single"/>
          </w:rPr>
          <w:t>https://revistas.unc.edu.ar/index.php/ConCienciaSocial/</w:t>
        </w:r>
      </w:hyperlink>
    </w:p>
    <w:p w14:paraId="4A6BFC54" w14:textId="77777777" w:rsidR="00C27610" w:rsidRDefault="00C27610">
      <w:pPr>
        <w:jc w:val="both"/>
        <w:rPr>
          <w:sz w:val="24"/>
          <w:szCs w:val="24"/>
        </w:rPr>
      </w:pPr>
    </w:p>
    <w:p w14:paraId="2BBC1276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López M. y Gómez Colman, V. (2025).  Aportes para pensar la intervención de la disciplina de Trabajo Social con personas gestantes que presentan trayectorias de c</w:t>
      </w:r>
      <w:r>
        <w:rPr>
          <w:sz w:val="24"/>
          <w:szCs w:val="24"/>
        </w:rPr>
        <w:t xml:space="preserve">onsumo problemático de sustancias psicoactivas. Margen 118  Disponible en: </w:t>
      </w:r>
      <w:hyperlink r:id="rId8">
        <w:r>
          <w:rPr>
            <w:color w:val="1155CC"/>
            <w:sz w:val="24"/>
            <w:szCs w:val="24"/>
            <w:u w:val="single"/>
          </w:rPr>
          <w:t>https://www.margen.org/suscri/margen118/Lopez-Gomez-118.pdf</w:t>
        </w:r>
      </w:hyperlink>
    </w:p>
    <w:p w14:paraId="691CFA94" w14:textId="77777777" w:rsidR="00C27610" w:rsidRDefault="00C27610">
      <w:pPr>
        <w:jc w:val="both"/>
        <w:rPr>
          <w:sz w:val="24"/>
          <w:szCs w:val="24"/>
        </w:rPr>
      </w:pPr>
    </w:p>
    <w:p w14:paraId="17C5E512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Mendez, C. (2025). Salud mental y enferme</w:t>
      </w:r>
      <w:r>
        <w:rPr>
          <w:sz w:val="24"/>
          <w:szCs w:val="24"/>
        </w:rPr>
        <w:t xml:space="preserve">dades crónicas. Determinantes sociales, accesibilidad y adherencia a tratamientos  en un hospital público de Mendoza. Otros Cauces Revista del Colegio de Profesionales de Trabajo Social de la Provincia de Mendoza 5 (5): 69-74 Disponible en  </w:t>
      </w:r>
      <w:hyperlink r:id="rId9">
        <w:r>
          <w:rPr>
            <w:color w:val="1155CC"/>
            <w:sz w:val="24"/>
            <w:szCs w:val="24"/>
            <w:u w:val="single"/>
          </w:rPr>
          <w:t>https://colegiotsmendoza.org.ar/wp-content/uploads/2025/12/Otros-Cauces-N%C2%B05-2025.pdf</w:t>
        </w:r>
      </w:hyperlink>
    </w:p>
    <w:p w14:paraId="1DF1AD32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Código Civil y Comercial de la Nación, Boletín Oficial de la República A</w:t>
      </w:r>
      <w:r>
        <w:rPr>
          <w:sz w:val="24"/>
          <w:szCs w:val="24"/>
        </w:rPr>
        <w:t>rgentina, 1 de octubre de 2014. LIBRO PRIMERO - PARTE GENERAL. Título Persona Humana. Capítulo 2. Capacidad.</w:t>
      </w:r>
    </w:p>
    <w:p w14:paraId="5B8E1FD8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Ley Nº 26.529 (2009) Ley de Derechos del Paciente, Historia Clínica y Consentimiento Informado.</w:t>
      </w:r>
    </w:p>
    <w:p w14:paraId="766882A6" w14:textId="77777777" w:rsidR="00C27610" w:rsidRDefault="002128B2">
      <w:pPr>
        <w:spacing w:before="240" w:after="240"/>
        <w:jc w:val="both"/>
        <w:rPr>
          <w:color w:val="000080"/>
          <w:sz w:val="24"/>
          <w:szCs w:val="24"/>
          <w:u w:val="single"/>
        </w:rPr>
      </w:pPr>
      <w:r>
        <w:rPr>
          <w:sz w:val="24"/>
          <w:szCs w:val="24"/>
        </w:rPr>
        <w:t>Faraone, S. (2013). Reformas en salud mental. Dilem</w:t>
      </w:r>
      <w:r>
        <w:rPr>
          <w:sz w:val="24"/>
          <w:szCs w:val="24"/>
        </w:rPr>
        <w:t xml:space="preserve">as en torno a las  nociones, conceptos y tipificaciones. Salud Mental y Comunidad-UNLa, 3. 29-40.  en: </w:t>
      </w:r>
      <w:r>
        <w:rPr>
          <w:color w:val="000080"/>
          <w:sz w:val="24"/>
          <w:szCs w:val="24"/>
          <w:u w:val="single"/>
        </w:rPr>
        <w:t>http://www.unla.edu.ar/saludmentalcomunidad/Revista-Salud-Mental-y Comunidad-3.pdf</w:t>
      </w:r>
    </w:p>
    <w:p w14:paraId="22690AB3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Palacios, Agustina, El modelo social de la discapacidad: orígenes, car</w:t>
      </w:r>
      <w:r>
        <w:rPr>
          <w:sz w:val="24"/>
          <w:szCs w:val="24"/>
        </w:rPr>
        <w:t>acterización y plasmación en la Convención Internacional sobre los Derechos de las Personas con Discapacidad, Capitulo 2. CeRMI, Ediciones Cinca, Madrid, 2008.</w:t>
      </w:r>
    </w:p>
    <w:p w14:paraId="32CC3A30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Povedano, S. (2020) “Maternidades y consumos problemáticos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de sustancias psicoactivas: reflexion</w:t>
      </w:r>
      <w:r>
        <w:rPr>
          <w:sz w:val="24"/>
          <w:szCs w:val="24"/>
        </w:rPr>
        <w:t>es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desde el trabajo social”</w:t>
      </w:r>
      <w:r>
        <w:rPr>
          <w:i/>
          <w:iCs/>
          <w:sz w:val="24"/>
          <w:szCs w:val="24"/>
        </w:rPr>
        <w:t xml:space="preserve">. </w:t>
      </w:r>
      <w:r>
        <w:rPr>
          <w:sz w:val="24"/>
          <w:szCs w:val="24"/>
        </w:rPr>
        <w:t>Revista</w:t>
      </w:r>
      <w:r>
        <w:rPr>
          <w:color w:val="5F5F5F"/>
          <w:sz w:val="24"/>
          <w:szCs w:val="24"/>
        </w:rPr>
        <w:t xml:space="preserve"> </w:t>
      </w:r>
      <w:r>
        <w:rPr>
          <w:sz w:val="24"/>
          <w:szCs w:val="24"/>
        </w:rPr>
        <w:t>ConCienciaSocial. Revista digital de Trabajo Social.Vol. 4 (2020) Nro. 7 - ISSN 2591-5339</w:t>
      </w:r>
    </w:p>
    <w:p w14:paraId="5FE11003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Amendolaro R.(2025) Cuidados, géneros, violencia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por motivos de género, salud mental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y consumos. En Consumos problemáticos y derechos humanos: perspectivas comunitarias” Adelqui Del Do… [et al.]; Compilación de Adelqui Del Do; Cecilia Calloway. – 1a ed. – Ciudad Autónoma de Buenos Aires: Teseo. Pág 149 – 168</w:t>
      </w:r>
    </w:p>
    <w:p w14:paraId="5830355B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Stolkiner, A. (2025) “Salud pública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y consumos problemáticos. En Consumos problemáticos y derechos humanos: perspectivas comunitarias” Adelqui Del Do… [et al.]; Compilación de Adelqui Del Do; Cecilia Calloway. – 1a ed. – Ciudad Autónoma de Buenos Aires: Te</w:t>
      </w:r>
      <w:r>
        <w:rPr>
          <w:sz w:val="24"/>
          <w:szCs w:val="24"/>
        </w:rPr>
        <w:t>seo. Pág 15 – 38.</w:t>
      </w:r>
    </w:p>
    <w:p w14:paraId="4C7BBDF9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Pawlowicz, MP; Di Iorio, J; Touzé , G. (2022) El movimiento de reducción de daños: hacia regulaciones no punitivistas. Revista de Salud Mental y comunidad. Universidad Nacional de Lanús</w:t>
      </w:r>
    </w:p>
    <w:p w14:paraId="4233D219" w14:textId="77777777" w:rsidR="00C27610" w:rsidRDefault="002128B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Touzé, G.(s/d).  “Estigma y Discriminación”. Curso d</w:t>
      </w:r>
      <w:r>
        <w:rPr>
          <w:sz w:val="24"/>
          <w:szCs w:val="24"/>
        </w:rPr>
        <w:t>e capacitación (S/D)</w:t>
      </w:r>
    </w:p>
    <w:p w14:paraId="590FDE59" w14:textId="77777777" w:rsidR="00C27610" w:rsidRDefault="002128B2">
      <w:pPr>
        <w:spacing w:before="240" w:after="240"/>
        <w:jc w:val="both"/>
        <w:rPr>
          <w:color w:val="1155CC"/>
          <w:sz w:val="24"/>
          <w:szCs w:val="24"/>
        </w:rPr>
      </w:pPr>
      <w:r>
        <w:rPr>
          <w:sz w:val="24"/>
          <w:szCs w:val="24"/>
        </w:rPr>
        <w:t>Convención Interamericana sobre protección de los derechos humanos de las personas mayores. (2015). OEA. Disponible en:</w:t>
      </w:r>
      <w:hyperlink r:id="rId10">
        <w:r>
          <w:rPr>
            <w:sz w:val="24"/>
            <w:szCs w:val="24"/>
          </w:rPr>
          <w:t xml:space="preserve"> </w:t>
        </w:r>
      </w:hyperlink>
      <w:hyperlink r:id="rId11">
        <w:r>
          <w:rPr>
            <w:color w:val="1155CC"/>
            <w:sz w:val="24"/>
            <w:szCs w:val="24"/>
          </w:rPr>
          <w:t>https://www.oas.org/es/sla/ddi/docs/tratados_multilaterales</w:t>
        </w:r>
        <w:r>
          <w:rPr>
            <w:color w:val="1155CC"/>
            <w:sz w:val="24"/>
            <w:szCs w:val="24"/>
          </w:rPr>
          <w:t xml:space="preserve">_interamericanos_a-  </w:t>
        </w:r>
        <w:r>
          <w:rPr>
            <w:color w:val="1155CC"/>
            <w:sz w:val="24"/>
            <w:szCs w:val="24"/>
          </w:rPr>
          <w:tab/>
          <w:t>70_derechos_humanos_personas_mayores.pdf</w:t>
        </w:r>
      </w:hyperlink>
    </w:p>
    <w:p w14:paraId="50D1F14B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Ley  27360/2017. HONORABLE CONGRESO DE LA NACION ARGENTINA. Aprobación de la Convención Interamericana sobre Protección de los Derechos Humanos de las Personas Mayores. </w:t>
      </w:r>
      <w:hyperlink r:id="rId12">
        <w:r>
          <w:rPr>
            <w:color w:val="1155CC"/>
            <w:sz w:val="24"/>
            <w:szCs w:val="24"/>
            <w:u w:val="single"/>
          </w:rPr>
          <w:t>https://servicios.infoleg.gob.ar/infolegInternet/anexos/275000-279999/275347/norma.htm</w:t>
        </w:r>
      </w:hyperlink>
    </w:p>
    <w:p w14:paraId="2122B8D8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Ley 27700/2022. HONORABLE CONGRESO DE LA NACION ARGENTINA. Otórguese Jerarquía constitu</w:t>
      </w:r>
      <w:r>
        <w:rPr>
          <w:sz w:val="24"/>
          <w:szCs w:val="24"/>
        </w:rPr>
        <w:t xml:space="preserve">cional a la Convención Interamericana sobre Protección de Derechos Humanos de las Personas Mayores. https://servicios.infoleg.gob.ar/infolegInternet/anexos/375000-379999/375740/norma.htm </w:t>
      </w:r>
    </w:p>
    <w:p w14:paraId="4C19EDD7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Roqué, M. y Amaro, S. (2015). Cap. I. “Los Desafíos del Envejecimien</w:t>
      </w:r>
      <w:r>
        <w:rPr>
          <w:sz w:val="24"/>
          <w:szCs w:val="24"/>
        </w:rPr>
        <w:t xml:space="preserve">to: Políticas Públicas y Envejecimiento”. Pág. 13 a 43. En Roqué, M. y Fassio, A. (Comp.) (2015). Políticas públicas sobre envejecimiento en los países del Cono Sur. Buenos Aires: Ministerio de Desarrollo Social / FLACSO Programa Chile. </w:t>
      </w:r>
      <w:hyperlink r:id="rId13">
        <w:r>
          <w:rPr>
            <w:color w:val="1155CC"/>
            <w:sz w:val="24"/>
            <w:szCs w:val="24"/>
            <w:u w:val="single"/>
          </w:rPr>
          <w:t>https://www.algec.org/biblioteca/POLITICAS-PUBLICAS-VEJEZ.pdf</w:t>
        </w:r>
      </w:hyperlink>
    </w:p>
    <w:p w14:paraId="19C633DD" w14:textId="77777777" w:rsidR="00C27610" w:rsidRDefault="00C27610">
      <w:pPr>
        <w:jc w:val="both"/>
        <w:rPr>
          <w:sz w:val="24"/>
          <w:szCs w:val="24"/>
        </w:rPr>
      </w:pPr>
    </w:p>
    <w:p w14:paraId="63C06832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Rubin, Romina K. (2015). Cap. IV. “Salud y Envejecimiento”. Pág. 114 a 122.  En Roqué, M. y Fassio, A. (Comp.) (2015). Políticas pú</w:t>
      </w:r>
      <w:r>
        <w:rPr>
          <w:sz w:val="24"/>
          <w:szCs w:val="24"/>
        </w:rPr>
        <w:t xml:space="preserve">blicas sobre envejecimiento en los </w:t>
      </w:r>
      <w:r>
        <w:rPr>
          <w:sz w:val="24"/>
          <w:szCs w:val="24"/>
        </w:rPr>
        <w:lastRenderedPageBreak/>
        <w:t xml:space="preserve">países del Cono Sur. Buenos Aires: Ministerio de Desarrollo Social / FLACSO Programa Chile. </w:t>
      </w:r>
      <w:hyperlink r:id="rId14">
        <w:r>
          <w:rPr>
            <w:color w:val="1155CC"/>
            <w:sz w:val="24"/>
            <w:szCs w:val="24"/>
            <w:u w:val="single"/>
          </w:rPr>
          <w:t>https://www.algec.org/biblioteca/POLITICAS-PUBLI</w:t>
        </w:r>
        <w:r>
          <w:rPr>
            <w:color w:val="1155CC"/>
            <w:sz w:val="24"/>
            <w:szCs w:val="24"/>
            <w:u w:val="single"/>
          </w:rPr>
          <w:t>CAS-VEJEZ.pdf</w:t>
        </w:r>
      </w:hyperlink>
    </w:p>
    <w:p w14:paraId="676A27DE" w14:textId="77777777" w:rsidR="00C27610" w:rsidRDefault="00C27610">
      <w:pPr>
        <w:ind w:left="1800" w:hanging="360"/>
        <w:jc w:val="both"/>
        <w:rPr>
          <w:sz w:val="24"/>
          <w:szCs w:val="24"/>
        </w:rPr>
      </w:pPr>
    </w:p>
    <w:p w14:paraId="6E886A74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Croas, R. (2015). Cap. VI. “Cuidados progresivos a lo largo de la vida I: sistema de cuidados progresivos. Autonomía personal en contextos institucionales. Derechos humanos en personas con fragilidad y dependencia”. Pág. 174 a 189. En Roqué,</w:t>
      </w:r>
      <w:r>
        <w:rPr>
          <w:sz w:val="24"/>
          <w:szCs w:val="24"/>
        </w:rPr>
        <w:t xml:space="preserve"> M. y Fassio, A. (Comp.) (2015). Políticas públicas sobre envejecimiento en los países del Cono Sur. Buenos Aires: Ministerio de Desarrollo Social / FLACSO Programa Chile. </w:t>
      </w:r>
      <w:hyperlink r:id="rId15">
        <w:r>
          <w:rPr>
            <w:color w:val="1155CC"/>
            <w:sz w:val="24"/>
            <w:szCs w:val="24"/>
            <w:u w:val="single"/>
          </w:rPr>
          <w:t>htt</w:t>
        </w:r>
        <w:r>
          <w:rPr>
            <w:color w:val="1155CC"/>
            <w:sz w:val="24"/>
            <w:szCs w:val="24"/>
            <w:u w:val="single"/>
          </w:rPr>
          <w:t>ps://www.algec.org/biblioteca/POLITICAS-PUBLICAS-VEJEZ.pdf</w:t>
        </w:r>
      </w:hyperlink>
    </w:p>
    <w:p w14:paraId="0268D92F" w14:textId="77777777" w:rsidR="00C27610" w:rsidRDefault="00C27610">
      <w:pPr>
        <w:ind w:left="1800" w:hanging="360"/>
        <w:jc w:val="both"/>
        <w:rPr>
          <w:sz w:val="24"/>
          <w:szCs w:val="24"/>
        </w:rPr>
      </w:pPr>
    </w:p>
    <w:p w14:paraId="0B608910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Terzaghi, María C. y Fernández Salvador, María C. (2015). Cap. VII. “Cuidados progresivos a lo largo de la vida II: cuidados en domicilio, servicios y tecnologías de apoyo. Accesibilidad. Una vida</w:t>
      </w:r>
      <w:r>
        <w:rPr>
          <w:sz w:val="24"/>
          <w:szCs w:val="24"/>
        </w:rPr>
        <w:t xml:space="preserve"> independiente”. Pag. 191 a 206. En Roqué, M. y Fassio, A. (Comp.) (2015). Políticas públicas sobre envejecimiento en los países del Cono Sur. Buenos Aires: Ministerio de Desarrollo Social / FLACSO Programa Chile. </w:t>
      </w:r>
      <w:hyperlink r:id="rId16">
        <w:r>
          <w:rPr>
            <w:color w:val="1155CC"/>
            <w:sz w:val="24"/>
            <w:szCs w:val="24"/>
            <w:u w:val="single"/>
          </w:rPr>
          <w:t>https://www.algec.org/biblioteca/POLITICAS-PUBLICAS-VEJEZ.pdf</w:t>
        </w:r>
      </w:hyperlink>
    </w:p>
    <w:p w14:paraId="1176EC01" w14:textId="77777777" w:rsidR="00C27610" w:rsidRDefault="00C27610">
      <w:pPr>
        <w:ind w:left="1800" w:hanging="360"/>
        <w:jc w:val="both"/>
        <w:rPr>
          <w:sz w:val="24"/>
          <w:szCs w:val="24"/>
        </w:rPr>
      </w:pPr>
    </w:p>
    <w:p w14:paraId="1A48ADE2" w14:textId="77777777" w:rsidR="00C27610" w:rsidRDefault="002128B2">
      <w:pPr>
        <w:jc w:val="both"/>
        <w:rPr>
          <w:sz w:val="24"/>
          <w:szCs w:val="24"/>
        </w:rPr>
      </w:pPr>
      <w:r>
        <w:rPr>
          <w:sz w:val="24"/>
          <w:szCs w:val="24"/>
        </w:rPr>
        <w:t>Arias, Claudia J. (2015). Cap. X. “Redes sociales de las personas mayores”. Pág. 267 a 273. En Roqué, M. y Fassio, A. (Comp.) (2015). Políticas públicas s</w:t>
      </w:r>
      <w:r>
        <w:rPr>
          <w:sz w:val="24"/>
          <w:szCs w:val="24"/>
        </w:rPr>
        <w:t xml:space="preserve">obre envejecimiento en los países del Cono Sur. Buenos Aires: Ministerio de Desarrollo Social / FLACSO Programa Chile. </w:t>
      </w:r>
      <w:hyperlink r:id="rId17">
        <w:r>
          <w:rPr>
            <w:color w:val="1155CC"/>
            <w:sz w:val="24"/>
            <w:szCs w:val="24"/>
            <w:u w:val="single"/>
          </w:rPr>
          <w:t>https://www.algec.org/biblioteca/POLITICAS-PUBLICAS-VEJE</w:t>
        </w:r>
        <w:r>
          <w:rPr>
            <w:color w:val="1155CC"/>
            <w:sz w:val="24"/>
            <w:szCs w:val="24"/>
            <w:u w:val="single"/>
          </w:rPr>
          <w:t>Z.pdf</w:t>
        </w:r>
      </w:hyperlink>
    </w:p>
    <w:p w14:paraId="71438549" w14:textId="77777777" w:rsidR="00C27610" w:rsidRDefault="00C27610">
      <w:pPr>
        <w:ind w:left="1800" w:hanging="360"/>
        <w:jc w:val="both"/>
        <w:rPr>
          <w:sz w:val="24"/>
          <w:szCs w:val="24"/>
        </w:rPr>
      </w:pPr>
    </w:p>
    <w:p w14:paraId="465D4355" w14:textId="77777777" w:rsidR="00C27610" w:rsidRDefault="002128B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Manes, Romina; Garmendia, Clara y Danel, Paula. (2020). Cap. 1 “Envejecimiento y vejeces: aproximaciones conceptuales desde la decolonialidad”. Págs. 20 a 29. En Tello y Danel: “Decolonialidad, identidades divergentes e intervenciones”. Ed. De la UN</w:t>
      </w:r>
      <w:r>
        <w:rPr>
          <w:sz w:val="24"/>
          <w:szCs w:val="24"/>
        </w:rPr>
        <w:t xml:space="preserve">LP. Disponible: </w:t>
      </w:r>
      <w:hyperlink r:id="rId18">
        <w:r>
          <w:rPr>
            <w:color w:val="1155CC"/>
            <w:sz w:val="24"/>
            <w:szCs w:val="24"/>
            <w:u w:val="single"/>
          </w:rPr>
          <w:t>http://sedici.unlp.edu.ar/bitstream/handle/10915/97864/Documento_completo.pdf-DFA.pdf?sequence=1</w:t>
        </w:r>
      </w:hyperlink>
    </w:p>
    <w:p w14:paraId="02ECF537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Protocolo de actuación para</w:t>
      </w:r>
      <w:r>
        <w:rPr>
          <w:sz w:val="24"/>
          <w:szCs w:val="24"/>
        </w:rPr>
        <w:t xml:space="preserve"> situaciones de maltrato a personas mayores. Dirección de Adultos Mayores. Ministerio de Salud, Desarrollo Social y Deportes</w:t>
      </w:r>
    </w:p>
    <w:p w14:paraId="5787F095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9">
        <w:r>
          <w:rPr>
            <w:color w:val="1155CC"/>
            <w:sz w:val="24"/>
            <w:szCs w:val="24"/>
            <w:u w:val="single"/>
          </w:rPr>
          <w:t>https://colegiotsmendoza.org.ar/w</w:t>
        </w:r>
        <w:r>
          <w:rPr>
            <w:color w:val="1155CC"/>
            <w:sz w:val="24"/>
            <w:szCs w:val="24"/>
            <w:u w:val="single"/>
          </w:rPr>
          <w:t>p-content/uploads/2022/06/Protocolo-2022.pdf</w:t>
        </w:r>
      </w:hyperlink>
    </w:p>
    <w:p w14:paraId="1525676A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Argentina. Ministerio de Salud. (2023). “</w:t>
      </w:r>
      <w:r>
        <w:rPr>
          <w:i/>
          <w:iCs/>
          <w:sz w:val="24"/>
          <w:szCs w:val="24"/>
        </w:rPr>
        <w:t>Manual para la detección y abordaje del maltrato en personas mayores y promoción del buen trato: Destinado a los servicios de salud”</w:t>
      </w:r>
      <w:r>
        <w:rPr>
          <w:sz w:val="24"/>
          <w:szCs w:val="24"/>
        </w:rPr>
        <w:t>. Buenos Aires: Ministerio de Salud de</w:t>
      </w:r>
      <w:r>
        <w:rPr>
          <w:sz w:val="24"/>
          <w:szCs w:val="24"/>
        </w:rPr>
        <w:t xml:space="preserve"> la Nación.</w:t>
      </w:r>
    </w:p>
    <w:p w14:paraId="56FD0B79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Escalada Mercedes Y Otros. "El diagnóstico social. Proceso de Reconocimiento eIntervención Profesional. Argentina. Ed. Espacio. 2001. Pág. 19-34</w:t>
      </w:r>
    </w:p>
    <w:p w14:paraId="44AE031D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Fuentes, Maria Pilar (2001). "Lo que el viento se llevó...El Registro de Trabajo de Campo y su importancia en e</w:t>
      </w:r>
      <w:r>
        <w:rPr>
          <w:sz w:val="24"/>
          <w:szCs w:val="24"/>
        </w:rPr>
        <w:t>l proceso de intervención profesional del trabajo Social" En Escalada y otros. "El diagnóstico Social. Proceso de conocimiento e intervención social." Buenos Aires, Editorial Espacio. Pág 141-154</w:t>
      </w:r>
    </w:p>
    <w:p w14:paraId="62BA476D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Cazzaniga, Susana. "El abordaje desde la singularidad" En cu</w:t>
      </w:r>
      <w:r>
        <w:rPr>
          <w:sz w:val="24"/>
          <w:szCs w:val="24"/>
        </w:rPr>
        <w:t>adernillo temático Desde el Fondo, N° 22. UNER Facultad de Trabajo Social.</w:t>
      </w:r>
    </w:p>
    <w:p w14:paraId="1F52FCE9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Barg, Liliana . El Informe Social: un instrumento de poder. Hospital Universitario</w:t>
      </w:r>
    </w:p>
    <w:p w14:paraId="4DBD4817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Sol Chinni, Micaela Maldonado y Nadia Pérez. "Fundamentos técnico-metodológicos para la elaboració</w:t>
      </w:r>
      <w:r>
        <w:rPr>
          <w:sz w:val="24"/>
          <w:szCs w:val="24"/>
        </w:rPr>
        <w:t>n de aproximaciones diagnósticas dentro de los informes sociales." Revista. Margen N° 89. Junio 2018</w:t>
      </w:r>
    </w:p>
    <w:p w14:paraId="71838533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De Lellis, Martín; Eotia y Guillermo D. (2019) "Interdisciplina y Salud Mental". Facultad de psicología - UBA / secretaría de investigaciones / anuario de investigaciones /volumen XXVI</w:t>
      </w:r>
    </w:p>
    <w:p w14:paraId="5D99F67A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Stolkiner, A. (1999) La Interdisciplina: entre la epistemología y las p</w:t>
      </w:r>
      <w:r>
        <w:rPr>
          <w:sz w:val="24"/>
          <w:szCs w:val="24"/>
        </w:rPr>
        <w:t>rácticas. En Revista El campo Psi. Año 3 - Nro. 10. Rosario</w:t>
      </w:r>
    </w:p>
    <w:p w14:paraId="76919762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Cazzaniga Susana Trabajo Social e interdisciplina: la cuestión de los equipos de salud. Revista Margen Edición N 27 Primavera 200</w:t>
      </w:r>
    </w:p>
    <w:p w14:paraId="4A698E7A" w14:textId="77777777" w:rsidR="00C27610" w:rsidRDefault="002128B2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Olmo, Juan Pablo, La defensa técnica de las personas con padecimie</w:t>
      </w:r>
      <w:r>
        <w:rPr>
          <w:sz w:val="24"/>
          <w:szCs w:val="24"/>
        </w:rPr>
        <w:t>ntos mentales. En Revista interdisciplinaria de doctrina y jurisprudencia. Derecho de familia, N° 77, Abeledo-Perrot, Buenos Aires, 2016, p. 143</w:t>
      </w:r>
    </w:p>
    <w:p w14:paraId="54E1D941" w14:textId="70802B96" w:rsidR="00C27610" w:rsidRDefault="002128B2" w:rsidP="009B7EBA">
      <w:pPr>
        <w:spacing w:before="240" w:after="240"/>
        <w:jc w:val="both"/>
      </w:pPr>
      <w:r>
        <w:rPr>
          <w:sz w:val="24"/>
          <w:szCs w:val="24"/>
        </w:rPr>
        <w:t>Pagano, Luz M. El rol de los curadores, los apoyos y otros profesionales de la salud en los procesos de restric</w:t>
      </w:r>
      <w:r>
        <w:rPr>
          <w:sz w:val="24"/>
          <w:szCs w:val="24"/>
        </w:rPr>
        <w:t>ción a la capacidad. En Thomson Reuters Cita Online: AP/DOC/1033/201</w:t>
      </w:r>
      <w:r>
        <w:rPr>
          <w:sz w:val="24"/>
          <w:szCs w:val="24"/>
        </w:rPr>
        <w:t>6</w:t>
      </w:r>
    </w:p>
    <w:sectPr w:rsidR="00C27610">
      <w:headerReference w:type="default" r:id="rId2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AC8DB" w14:textId="77777777" w:rsidR="002128B2" w:rsidRDefault="002128B2">
      <w:pPr>
        <w:spacing w:line="240" w:lineRule="auto"/>
      </w:pPr>
      <w:r>
        <w:separator/>
      </w:r>
    </w:p>
  </w:endnote>
  <w:endnote w:type="continuationSeparator" w:id="0">
    <w:p w14:paraId="283CFC4C" w14:textId="77777777" w:rsidR="002128B2" w:rsidRDefault="002128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C8A881-5328-40E1-9338-978CB2FB29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D416800-D566-48C7-872F-90F9ED3CA0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183C1" w14:textId="77777777" w:rsidR="002128B2" w:rsidRDefault="002128B2">
      <w:pPr>
        <w:spacing w:line="240" w:lineRule="auto"/>
      </w:pPr>
      <w:r>
        <w:separator/>
      </w:r>
    </w:p>
  </w:footnote>
  <w:footnote w:type="continuationSeparator" w:id="0">
    <w:p w14:paraId="169799A0" w14:textId="77777777" w:rsidR="002128B2" w:rsidRDefault="002128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F3E7" w14:textId="77777777" w:rsidR="00C27610" w:rsidRDefault="002128B2">
    <w:pPr>
      <w:widowControl w:val="0"/>
      <w:spacing w:before="92" w:line="240" w:lineRule="auto"/>
      <w:rPr>
        <w:b/>
        <w:bCs/>
        <w:color w:val="0000FF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EB0AE65" wp14:editId="2B1F062D">
          <wp:simplePos x="0" y="0"/>
          <wp:positionH relativeFrom="column">
            <wp:posOffset>2462213</wp:posOffset>
          </wp:positionH>
          <wp:positionV relativeFrom="paragraph">
            <wp:posOffset>-152399</wp:posOffset>
          </wp:positionV>
          <wp:extent cx="690563" cy="1295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563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DACD37" w14:textId="77777777" w:rsidR="00C27610" w:rsidRDefault="00C27610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5AFFB130" w14:textId="77777777" w:rsidR="00C27610" w:rsidRDefault="00C27610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1E3D622B" w14:textId="77777777" w:rsidR="00C27610" w:rsidRDefault="00C27610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33EBDC65" w14:textId="77777777" w:rsidR="00C27610" w:rsidRDefault="00C27610">
    <w:pPr>
      <w:widowControl w:val="0"/>
      <w:spacing w:before="92" w:line="240" w:lineRule="auto"/>
      <w:rPr>
        <w:rFonts w:ascii="Times New Roman" w:eastAsia="Times New Roman" w:hAnsi="Times New Roman" w:cs="Times New Roman"/>
        <w:b/>
        <w:bCs/>
        <w:color w:val="0000FF"/>
        <w:sz w:val="24"/>
        <w:szCs w:val="24"/>
      </w:rPr>
    </w:pPr>
  </w:p>
  <w:p w14:paraId="7A72E12F" w14:textId="77777777" w:rsidR="00C27610" w:rsidRDefault="002128B2">
    <w:pPr>
      <w:widowControl w:val="0"/>
      <w:spacing w:before="92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                       </w:t>
    </w:r>
    <w:r>
      <w:rPr>
        <w:rFonts w:ascii="Times New Roman" w:eastAsia="Times New Roman" w:hAnsi="Times New Roman" w:cs="Times New Roman"/>
        <w:sz w:val="24"/>
        <w:szCs w:val="24"/>
      </w:rPr>
      <w:t>“Año del 90 Aniversario de la Fiesta Nacional  de la Vendimia”</w:t>
    </w:r>
  </w:p>
  <w:p w14:paraId="2435C7C1" w14:textId="77777777" w:rsidR="00C27610" w:rsidRDefault="00C27610">
    <w:pPr>
      <w:widowControl w:val="0"/>
      <w:spacing w:before="92" w:line="240" w:lineRule="auto"/>
      <w:rPr>
        <w:b/>
        <w:bCs/>
        <w:color w:val="0000FF"/>
        <w:sz w:val="24"/>
        <w:szCs w:val="24"/>
      </w:rPr>
    </w:pPr>
  </w:p>
  <w:p w14:paraId="3E3CFE5F" w14:textId="77777777" w:rsidR="00C27610" w:rsidRDefault="002128B2">
    <w:pPr>
      <w:widowControl w:val="0"/>
      <w:spacing w:before="92" w:line="240" w:lineRule="auto"/>
      <w:rPr>
        <w:b/>
        <w:bCs/>
        <w:sz w:val="26"/>
        <w:szCs w:val="26"/>
      </w:rPr>
    </w:pPr>
    <w:r>
      <w:rPr>
        <w:b/>
        <w:bCs/>
        <w:color w:val="0000FF"/>
        <w:sz w:val="24"/>
        <w:szCs w:val="24"/>
      </w:rPr>
      <w:t xml:space="preserve">Ministerio de Salud y Deportes </w:t>
    </w:r>
  </w:p>
  <w:p w14:paraId="44F75263" w14:textId="77777777" w:rsidR="00C27610" w:rsidRDefault="00C276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610"/>
    <w:rsid w:val="002128B2"/>
    <w:rsid w:val="009B7EBA"/>
    <w:rsid w:val="00C27610"/>
    <w:rsid w:val="00C9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4C263"/>
  <w15:docId w15:val="{788C719B-A9D9-4A61-9C73-BD4DCCF0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gen.org/suscri/margen118/Lopez-Gomez-118.pdf" TargetMode="External"/><Relationship Id="rId13" Type="http://schemas.openxmlformats.org/officeDocument/2006/relationships/hyperlink" Target="https://www.algec.org/biblioteca/POLITICAS-PUBLICAS-VEJEZ.pdf" TargetMode="External"/><Relationship Id="rId18" Type="http://schemas.openxmlformats.org/officeDocument/2006/relationships/hyperlink" Target="http://sedici.unlp.edu.ar/bitstream/handle/10915/97864/Documento_completo.pdf-DFA.pdf?sequence=1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evistas.unc.edu.ar/index.php/ConCienciaSocial/" TargetMode="External"/><Relationship Id="rId12" Type="http://schemas.openxmlformats.org/officeDocument/2006/relationships/hyperlink" Target="https://servicios.infoleg.gob.ar/infolegInternet/anexos/275000-279999/275347/norma.htm" TargetMode="External"/><Relationship Id="rId17" Type="http://schemas.openxmlformats.org/officeDocument/2006/relationships/hyperlink" Target="https://www.algec.org/biblioteca/POLITICAS-PUBLICAS-VEJEZ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lgec.org/biblioteca/POLITICAS-PUBLICAS-VEJEZ.pdf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servicios.infoleg.gob.ar/infolegInternet/anexos/175000-179999/175977/norma.htm" TargetMode="External"/><Relationship Id="rId11" Type="http://schemas.openxmlformats.org/officeDocument/2006/relationships/hyperlink" Target="https://www.oas.org/es/sla/ddi/docs/tratados_multilaterales_interamericanos_a-%20%20%20%20%20%2070_derechos_humanos_personas_mayores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algec.org/biblioteca/POLITICAS-PUBLICAS-VEJEZ.pdf" TargetMode="External"/><Relationship Id="rId10" Type="http://schemas.openxmlformats.org/officeDocument/2006/relationships/hyperlink" Target="https://www.oas.org/es/sla/ddi/docs/tratados_multilaterales_interamericanos_a-%20%20%20%20%20%2070_derechos_humanos_personas_mayores.pdf" TargetMode="External"/><Relationship Id="rId19" Type="http://schemas.openxmlformats.org/officeDocument/2006/relationships/hyperlink" Target="https://colegiotsmendoza.org.ar/wp-content/uploads/2022/06/Protocolo-2022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olegiotsmendoza.org.ar/wp-content/uploads/2025/12/Otros-Cauces-N%C2%B05-2025.pdf" TargetMode="External"/><Relationship Id="rId14" Type="http://schemas.openxmlformats.org/officeDocument/2006/relationships/hyperlink" Target="https://www.algec.org/biblioteca/POLITICAS-PUBLICAS-VEJEZ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1692</Words>
  <Characters>9310</Characters>
  <Application>Microsoft Office Word</Application>
  <DocSecurity>0</DocSecurity>
  <Lines>77</Lines>
  <Paragraphs>21</Paragraphs>
  <ScaleCrop>false</ScaleCrop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</dc:creator>
  <cp:lastModifiedBy>Usuario</cp:lastModifiedBy>
  <cp:revision>3</cp:revision>
  <dcterms:created xsi:type="dcterms:W3CDTF">2026-03-12T11:51:00Z</dcterms:created>
  <dcterms:modified xsi:type="dcterms:W3CDTF">2026-03-12T11:52:00Z</dcterms:modified>
</cp:coreProperties>
</file>