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81DC" w14:textId="3226DB56" w:rsidR="00320A00" w:rsidRPr="00CB4BA4" w:rsidRDefault="00320A00" w:rsidP="00320A00">
      <w:pPr>
        <w:jc w:val="center"/>
        <w:rPr>
          <w:rFonts w:asciiTheme="minorHAnsi" w:hAnsiTheme="minorHAnsi" w:cstheme="minorHAnsi"/>
          <w:b/>
          <w:bCs/>
        </w:rPr>
      </w:pPr>
      <w:r w:rsidRPr="00CB4BA4">
        <w:rPr>
          <w:rFonts w:asciiTheme="minorHAnsi" w:hAnsiTheme="minorHAnsi" w:cstheme="minorHAnsi"/>
          <w:b/>
          <w:bCs/>
        </w:rPr>
        <w:t>Bioquímica</w:t>
      </w:r>
    </w:p>
    <w:p w14:paraId="52ADC398" w14:textId="15486CA0" w:rsidR="00D60B5F" w:rsidRPr="00CB4BA4" w:rsidRDefault="00D60B5F" w:rsidP="00320A00">
      <w:pPr>
        <w:jc w:val="center"/>
        <w:rPr>
          <w:rFonts w:asciiTheme="minorHAnsi" w:hAnsiTheme="minorHAnsi" w:cstheme="minorHAnsi"/>
          <w:b/>
          <w:bCs/>
        </w:rPr>
      </w:pPr>
      <w:r w:rsidRPr="00CB4BA4">
        <w:rPr>
          <w:rFonts w:asciiTheme="minorHAnsi" w:hAnsiTheme="minorHAnsi" w:cstheme="minorHAnsi"/>
          <w:b/>
          <w:bCs/>
        </w:rPr>
        <w:t xml:space="preserve">Bibliografía </w:t>
      </w:r>
      <w:r w:rsidR="00320A00" w:rsidRPr="00CB4BA4">
        <w:rPr>
          <w:rFonts w:asciiTheme="minorHAnsi" w:hAnsiTheme="minorHAnsi" w:cstheme="minorHAnsi"/>
          <w:b/>
          <w:bCs/>
        </w:rPr>
        <w:t xml:space="preserve">sugerida </w:t>
      </w:r>
      <w:r w:rsidRPr="00CB4BA4">
        <w:rPr>
          <w:rFonts w:asciiTheme="minorHAnsi" w:hAnsiTheme="minorHAnsi" w:cstheme="minorHAnsi"/>
          <w:b/>
          <w:bCs/>
        </w:rPr>
        <w:t xml:space="preserve">examen de </w:t>
      </w:r>
      <w:r w:rsidR="00320A00" w:rsidRPr="00CB4BA4">
        <w:rPr>
          <w:rFonts w:asciiTheme="minorHAnsi" w:hAnsiTheme="minorHAnsi" w:cstheme="minorHAnsi"/>
          <w:b/>
          <w:bCs/>
        </w:rPr>
        <w:t xml:space="preserve">ingreso a </w:t>
      </w:r>
      <w:r w:rsidRPr="00CB4BA4">
        <w:rPr>
          <w:rFonts w:asciiTheme="minorHAnsi" w:hAnsiTheme="minorHAnsi" w:cstheme="minorHAnsi"/>
          <w:b/>
          <w:bCs/>
        </w:rPr>
        <w:t>residencia 2026</w:t>
      </w:r>
    </w:p>
    <w:p w14:paraId="389D2F37" w14:textId="77777777" w:rsidR="00D60B5F" w:rsidRPr="00CB4BA4" w:rsidRDefault="00D60B5F">
      <w:pPr>
        <w:rPr>
          <w:rFonts w:asciiTheme="minorHAnsi" w:hAnsiTheme="minorHAnsi" w:cstheme="minorHAnsi"/>
        </w:rPr>
      </w:pPr>
    </w:p>
    <w:p w14:paraId="16FB3E83" w14:textId="77777777" w:rsidR="00D60B5F" w:rsidRPr="00CB4BA4" w:rsidRDefault="00D60B5F" w:rsidP="00D60B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4BA4">
        <w:rPr>
          <w:rFonts w:asciiTheme="minorHAnsi" w:hAnsiTheme="minorHAnsi" w:cstheme="minorHAnsi"/>
          <w:b/>
          <w:bCs/>
          <w:sz w:val="22"/>
          <w:szCs w:val="22"/>
        </w:rPr>
        <w:t>1. Bibliografía general (libros principales)</w:t>
      </w:r>
    </w:p>
    <w:p w14:paraId="3F99D5E5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Abbas AK,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Lichtman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AH, Pillai S.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Inmunología celular y molecular</w:t>
      </w:r>
      <w:r w:rsidRPr="00CB4BA4">
        <w:rPr>
          <w:rFonts w:asciiTheme="minorHAnsi" w:hAnsiTheme="minorHAnsi" w:cstheme="minorHAnsi"/>
          <w:sz w:val="22"/>
          <w:szCs w:val="22"/>
        </w:rPr>
        <w:t xml:space="preserve">. 10ª ed.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Philadelphia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>: Elsevier; 2022.</w:t>
      </w:r>
    </w:p>
    <w:p w14:paraId="0BAF95C6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Botero D, Restrepo M.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Parasitosis humanas</w:t>
      </w:r>
      <w:r w:rsidRPr="00CB4BA4">
        <w:rPr>
          <w:rFonts w:asciiTheme="minorHAnsi" w:hAnsiTheme="minorHAnsi" w:cstheme="minorHAnsi"/>
          <w:sz w:val="22"/>
          <w:szCs w:val="22"/>
        </w:rPr>
        <w:t>. 3ª ed. Medellín: Corporación para Investigaciones Biológicas; 1998.</w:t>
      </w:r>
    </w:p>
    <w:p w14:paraId="3EC52CF1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Kaiser CA, Krieger M,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Lodish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H,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Berk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A,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Bretscher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A,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Ploegh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H, Martin KC,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Yaffe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MB,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Amon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A.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Biología molecular y celular</w:t>
      </w:r>
      <w:r w:rsidRPr="00CB4BA4">
        <w:rPr>
          <w:rFonts w:asciiTheme="minorHAnsi" w:hAnsiTheme="minorHAnsi" w:cstheme="minorHAnsi"/>
          <w:sz w:val="22"/>
          <w:szCs w:val="22"/>
        </w:rPr>
        <w:t>. 9ª ed. Madrid: Editorial Médica Panamericana; 2023.</w:t>
      </w:r>
    </w:p>
    <w:p w14:paraId="2D59F21E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4BA4">
        <w:rPr>
          <w:rFonts w:asciiTheme="minorHAnsi" w:hAnsiTheme="minorHAnsi" w:cstheme="minorHAnsi"/>
          <w:sz w:val="22"/>
          <w:szCs w:val="22"/>
        </w:rPr>
        <w:t>Koneman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EW, Allen SD, Janda WM,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Schreckenberger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PC,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Winn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WC.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Diagnóstico microbiológico</w:t>
      </w:r>
      <w:r w:rsidRPr="00CB4BA4">
        <w:rPr>
          <w:rFonts w:asciiTheme="minorHAnsi" w:hAnsiTheme="minorHAnsi" w:cstheme="minorHAnsi"/>
          <w:sz w:val="22"/>
          <w:szCs w:val="22"/>
        </w:rPr>
        <w:t>. 6ª ed. Madrid: Editorial Médica Panamericana; 2006.</w:t>
      </w:r>
    </w:p>
    <w:p w14:paraId="13147240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McPherson RA, Pincus MR.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Henry. Diagnóstico clínico y técnicas de laboratorio</w:t>
      </w:r>
      <w:r w:rsidRPr="00CB4BA4">
        <w:rPr>
          <w:rFonts w:asciiTheme="minorHAnsi" w:hAnsiTheme="minorHAnsi" w:cstheme="minorHAnsi"/>
          <w:sz w:val="22"/>
          <w:szCs w:val="22"/>
        </w:rPr>
        <w:t xml:space="preserve">. 24ª ed.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Philadelphia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>: Elsevier; 2022. ISBN: 978-0-323-67320-4.</w:t>
      </w:r>
    </w:p>
    <w:p w14:paraId="0204C36B" w14:textId="7EDB9C13" w:rsidR="003333B4" w:rsidRPr="00CB4BA4" w:rsidRDefault="003333B4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>Sans-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Sabrafen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J,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Besses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C, Vives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Corrons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JL, editores.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Hematología clínica</w:t>
      </w:r>
      <w:r w:rsidRPr="00CB4BA4">
        <w:rPr>
          <w:rFonts w:asciiTheme="minorHAnsi" w:hAnsiTheme="minorHAnsi" w:cstheme="minorHAnsi"/>
          <w:sz w:val="22"/>
          <w:szCs w:val="22"/>
        </w:rPr>
        <w:t>. 5ª ed. Madrid: Elsevier; 2006.</w:t>
      </w:r>
    </w:p>
    <w:p w14:paraId="126FC91C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4BA4">
        <w:rPr>
          <w:rFonts w:asciiTheme="minorHAnsi" w:hAnsiTheme="minorHAnsi" w:cstheme="minorHAnsi"/>
          <w:sz w:val="22"/>
          <w:szCs w:val="22"/>
        </w:rPr>
        <w:t>Strasinger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SK, Di Lorenzo MS.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Análisis de orina y de los líquidos corporales</w:t>
      </w:r>
      <w:r w:rsidRPr="00CB4BA4">
        <w:rPr>
          <w:rFonts w:asciiTheme="minorHAnsi" w:hAnsiTheme="minorHAnsi" w:cstheme="minorHAnsi"/>
          <w:sz w:val="22"/>
          <w:szCs w:val="22"/>
        </w:rPr>
        <w:t>. 7ª ed. Madrid: Editorial Médica Panamericana; 2021.</w:t>
      </w:r>
    </w:p>
    <w:p w14:paraId="6582F210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Westgard JO.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Prácticas básicas de control de la calidad: capacitación en control estadístico de la calidad para laboratorios clínicos</w:t>
      </w:r>
      <w:r w:rsidRPr="00CB4BA4">
        <w:rPr>
          <w:rFonts w:asciiTheme="minorHAnsi" w:hAnsiTheme="minorHAnsi" w:cstheme="minorHAnsi"/>
          <w:sz w:val="22"/>
          <w:szCs w:val="22"/>
        </w:rPr>
        <w:t>. Madison: Westgard QC; 2013. ISBN: 978-1-886958-15-9.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6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https://cms.ifcc.org/media/333582/2015%20Pr%C3%A1cticas%20B%C3%A1sicas%20de%20Control%20de%20Calidad.pdf</w:t>
        </w:r>
      </w:hyperlink>
    </w:p>
    <w:p w14:paraId="25F04A63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B4BA4">
        <w:rPr>
          <w:rFonts w:asciiTheme="minorHAnsi" w:hAnsiTheme="minorHAnsi" w:cstheme="minorHAnsi"/>
          <w:sz w:val="22"/>
          <w:szCs w:val="22"/>
        </w:rPr>
        <w:t>Melmed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S,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Polonsky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KS, Larsen PR,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Kronenberg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HM.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Williams tratado de endocrinología</w:t>
      </w:r>
      <w:r w:rsidRPr="00CB4BA4">
        <w:rPr>
          <w:rFonts w:asciiTheme="minorHAnsi" w:hAnsiTheme="minorHAnsi" w:cstheme="minorHAnsi"/>
          <w:sz w:val="22"/>
          <w:szCs w:val="22"/>
        </w:rPr>
        <w:t xml:space="preserve">. 13ª ed.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Philadelphia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>: Elsevier; 2016.</w:t>
      </w:r>
    </w:p>
    <w:p w14:paraId="10DEEF26" w14:textId="77777777" w:rsidR="00370CEB" w:rsidRPr="00CB4BA4" w:rsidRDefault="00370CEB" w:rsidP="00D60B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40F86D" w14:textId="62A28BED" w:rsidR="00D60B5F" w:rsidRPr="00CB4BA4" w:rsidRDefault="00D60B5F" w:rsidP="00D60B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4BA4">
        <w:rPr>
          <w:rFonts w:asciiTheme="minorHAnsi" w:hAnsiTheme="minorHAnsi" w:cstheme="minorHAnsi"/>
          <w:b/>
          <w:bCs/>
          <w:sz w:val="22"/>
          <w:szCs w:val="22"/>
        </w:rPr>
        <w:t>2. Artículos científicos, guías y documentos técnicos</w:t>
      </w:r>
    </w:p>
    <w:p w14:paraId="3D8721D3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lastRenderedPageBreak/>
        <w:t xml:space="preserve">American Diabetes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Association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Diagnosis and </w:t>
      </w:r>
      <w:proofErr w:type="spellStart"/>
      <w:r w:rsidRPr="00CB4BA4">
        <w:rPr>
          <w:rFonts w:asciiTheme="minorHAnsi" w:hAnsiTheme="minorHAnsi" w:cstheme="minorHAnsi"/>
          <w:b/>
          <w:bCs/>
          <w:sz w:val="22"/>
          <w:szCs w:val="22"/>
        </w:rPr>
        <w:t>classification</w:t>
      </w:r>
      <w:proofErr w:type="spellEnd"/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4BA4">
        <w:rPr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 diabetes: </w:t>
      </w:r>
      <w:proofErr w:type="spellStart"/>
      <w:r w:rsidRPr="00CB4BA4">
        <w:rPr>
          <w:rFonts w:asciiTheme="minorHAnsi" w:hAnsiTheme="minorHAnsi" w:cstheme="minorHAnsi"/>
          <w:b/>
          <w:bCs/>
          <w:sz w:val="22"/>
          <w:szCs w:val="22"/>
        </w:rPr>
        <w:t>Standards</w:t>
      </w:r>
      <w:proofErr w:type="spellEnd"/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B4BA4">
        <w:rPr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 care in diabetes</w:t>
      </w:r>
      <w:r w:rsidRPr="00CB4BA4">
        <w:rPr>
          <w:rFonts w:asciiTheme="minorHAnsi" w:hAnsiTheme="minorHAnsi" w:cstheme="minorHAnsi"/>
          <w:sz w:val="22"/>
          <w:szCs w:val="22"/>
        </w:rPr>
        <w:t>—2025. Diabetes Care. 2025;48(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Suppl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1</w:t>
      </w:r>
      <w:proofErr w:type="gramStart"/>
      <w:r w:rsidRPr="00CB4BA4">
        <w:rPr>
          <w:rFonts w:asciiTheme="minorHAnsi" w:hAnsiTheme="minorHAnsi" w:cstheme="minorHAnsi"/>
          <w:sz w:val="22"/>
          <w:szCs w:val="22"/>
        </w:rPr>
        <w:t>):S</w:t>
      </w:r>
      <w:proofErr w:type="gramEnd"/>
      <w:r w:rsidRPr="00CB4BA4">
        <w:rPr>
          <w:rFonts w:asciiTheme="minorHAnsi" w:hAnsiTheme="minorHAnsi" w:cstheme="minorHAnsi"/>
          <w:sz w:val="22"/>
          <w:szCs w:val="22"/>
        </w:rPr>
        <w:t>27–S49.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7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https://doi.org/10.2337/dc25-S002</w:t>
        </w:r>
      </w:hyperlink>
    </w:p>
    <w:p w14:paraId="04296649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>Aristizábal-Salazar RE, Calvo-Torres LF, Valencia-Arango LA, Montoya-Cañón M, Barbosa-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Gantiva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O, Hincapié-Baena V.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Equilibrio ácido-base: el mejor enfoque clínico.</w:t>
      </w:r>
      <w:r w:rsidRPr="00CB4B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Rev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Colomb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4BA4">
        <w:rPr>
          <w:rFonts w:asciiTheme="minorHAnsi" w:hAnsiTheme="minorHAnsi" w:cstheme="minorHAnsi"/>
          <w:sz w:val="22"/>
          <w:szCs w:val="22"/>
        </w:rPr>
        <w:t>Anestesiol</w:t>
      </w:r>
      <w:proofErr w:type="spellEnd"/>
      <w:r w:rsidRPr="00CB4BA4">
        <w:rPr>
          <w:rFonts w:asciiTheme="minorHAnsi" w:hAnsiTheme="minorHAnsi" w:cstheme="minorHAnsi"/>
          <w:sz w:val="22"/>
          <w:szCs w:val="22"/>
        </w:rPr>
        <w:t>. 2015;43(3):219–224.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8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https://www.sciencedirect.com/science/article/pii/S0120334715000441</w:t>
        </w:r>
      </w:hyperlink>
    </w:p>
    <w:p w14:paraId="4345AEB3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Comité Regional de Estandarización de Laboratorios Bioquímicos (CRELAB).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Determinación de anticuerpos antinucleares por inmunofluorescencia indirecta (IFI)</w:t>
      </w:r>
      <w:r w:rsidRPr="00CB4BA4">
        <w:rPr>
          <w:rFonts w:asciiTheme="minorHAnsi" w:hAnsiTheme="minorHAnsi" w:cstheme="minorHAnsi"/>
          <w:sz w:val="22"/>
          <w:szCs w:val="22"/>
        </w:rPr>
        <w:t>. Córdoba: CRELAB; 2021. ISSN 2796-7174.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9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https://www.fcq.unc.edu.ar/wp-content/uploads/2024/11/determinacio%CC%81n-de-anticuerpos-antinucleares-por-ifi.pdf</w:t>
        </w:r>
      </w:hyperlink>
    </w:p>
    <w:p w14:paraId="265CAB15" w14:textId="150098EA" w:rsidR="00B81A90" w:rsidRPr="00CB4BA4" w:rsidRDefault="00B81A90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Ministerio de Salud de la Nación.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Recomendaciones para el cuidado de la persona recién nacida afectada por el consumo problemático de sustancias psicoactivas durante la gestación</w:t>
      </w:r>
      <w:r w:rsidRPr="00CB4BA4">
        <w:rPr>
          <w:rFonts w:asciiTheme="minorHAnsi" w:hAnsiTheme="minorHAnsi" w:cstheme="minorHAnsi"/>
          <w:sz w:val="22"/>
          <w:szCs w:val="22"/>
        </w:rPr>
        <w:t>. Buenos Aires: Ministerio de Salud de la Nación; 2024.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10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https://www.argentina.gob.ar/sites/default/files/2021/01/recomendaciones-rn-consumo-sustancias.pdf</w:t>
        </w:r>
      </w:hyperlink>
    </w:p>
    <w:p w14:paraId="701D5DE6" w14:textId="2E6F2364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Ministerio de Salud de la Nación.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Vigilancia epidemiológica: algoritmos diagnósticos (respiratorias, hepatitis virales, transmisión vertical y vectoriales)</w:t>
      </w:r>
      <w:r w:rsidRPr="00CB4BA4">
        <w:rPr>
          <w:rFonts w:asciiTheme="minorHAnsi" w:hAnsiTheme="minorHAnsi" w:cstheme="minorHAnsi"/>
          <w:sz w:val="22"/>
          <w:szCs w:val="22"/>
        </w:rPr>
        <w:t>. Argentina: Ministerio de Salud de la Nación.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11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https://www.argentina.gob.ar/salud/epidemiologia/algoritmos</w:t>
        </w:r>
      </w:hyperlink>
    </w:p>
    <w:p w14:paraId="31A824A9" w14:textId="7777777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Organización Mundial de la Salud.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Manual de laboratorio de la OMS para el examen y procesamiento del semen humano</w:t>
      </w:r>
      <w:r w:rsidRPr="00CB4BA4">
        <w:rPr>
          <w:rFonts w:asciiTheme="minorHAnsi" w:hAnsiTheme="minorHAnsi" w:cstheme="minorHAnsi"/>
          <w:sz w:val="22"/>
          <w:szCs w:val="22"/>
        </w:rPr>
        <w:t>. 6ª ed. Ginebra: OMS; 2025. ISBN 978-92-4-010611-6.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12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https://www.who.int/es/publications/b/59107</w:t>
        </w:r>
      </w:hyperlink>
    </w:p>
    <w:p w14:paraId="1DBE5EB1" w14:textId="13A9F4D7" w:rsidR="00D60B5F" w:rsidRPr="00CB4BA4" w:rsidRDefault="00D60B5F" w:rsidP="00D60B5F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Sociedad Argentina de Infectología. </w:t>
      </w:r>
      <w:r w:rsidRPr="00CB4BA4">
        <w:rPr>
          <w:rFonts w:asciiTheme="minorHAnsi" w:hAnsiTheme="minorHAnsi" w:cstheme="minorHAnsi"/>
          <w:b/>
          <w:bCs/>
          <w:sz w:val="22"/>
          <w:szCs w:val="22"/>
        </w:rPr>
        <w:t>Recomendaciones de diagnóstico y tratamiento de las infecciones de transmisión sexual</w:t>
      </w:r>
      <w:r w:rsidRPr="00CB4BA4">
        <w:rPr>
          <w:rFonts w:asciiTheme="minorHAnsi" w:hAnsiTheme="minorHAnsi" w:cstheme="minorHAnsi"/>
          <w:sz w:val="22"/>
          <w:szCs w:val="22"/>
        </w:rPr>
        <w:t>. Buenos Aires: SADI; 2025. ISBN 978-987-48556-7-1.</w:t>
      </w:r>
      <w:r w:rsidR="003333B4" w:rsidRPr="00CB4BA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333B4" w:rsidRPr="00CB4BA4">
        <w:rPr>
          <w:rFonts w:asciiTheme="minorHAnsi" w:hAnsiTheme="minorHAnsi" w:cstheme="minorHAnsi"/>
          <w:sz w:val="22"/>
          <w:szCs w:val="22"/>
        </w:rPr>
        <w:t>cápitulo</w:t>
      </w:r>
      <w:proofErr w:type="spellEnd"/>
      <w:r w:rsidR="003333B4" w:rsidRPr="00CB4BA4">
        <w:rPr>
          <w:rFonts w:asciiTheme="minorHAnsi" w:hAnsiTheme="minorHAnsi" w:cstheme="minorHAnsi"/>
          <w:sz w:val="22"/>
          <w:szCs w:val="22"/>
        </w:rPr>
        <w:t>: 7, 13, 19 y 20)</w:t>
      </w:r>
      <w:r w:rsidRPr="00CB4BA4">
        <w:rPr>
          <w:rFonts w:asciiTheme="minorHAnsi" w:hAnsiTheme="minorHAnsi" w:cstheme="minorHAnsi"/>
          <w:sz w:val="22"/>
          <w:szCs w:val="22"/>
        </w:rPr>
        <w:t xml:space="preserve">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13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https://www.sadi.org.ar/publicaciones/1871-recomendaciones-de-diagnostico-y-tratamiento-de-las-infecciones-de-transmision-sexual-2025</w:t>
        </w:r>
      </w:hyperlink>
    </w:p>
    <w:p w14:paraId="3E01B5A7" w14:textId="77777777" w:rsidR="00370CEB" w:rsidRPr="00CB4BA4" w:rsidRDefault="00370CEB" w:rsidP="00D60B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C30D28" w14:textId="619576F6" w:rsidR="00D60B5F" w:rsidRPr="00CB4BA4" w:rsidRDefault="00D60B5F" w:rsidP="00D60B5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4BA4">
        <w:rPr>
          <w:rFonts w:asciiTheme="minorHAnsi" w:hAnsiTheme="minorHAnsi" w:cstheme="minorHAnsi"/>
          <w:b/>
          <w:bCs/>
          <w:sz w:val="22"/>
          <w:szCs w:val="22"/>
        </w:rPr>
        <w:lastRenderedPageBreak/>
        <w:t>3. Normativa sanitaria</w:t>
      </w:r>
    </w:p>
    <w:p w14:paraId="1FA7F6A4" w14:textId="4ADFD7F9" w:rsidR="00D60B5F" w:rsidRPr="00CB4BA4" w:rsidRDefault="00D60B5F" w:rsidP="00370CEB">
      <w:pPr>
        <w:jc w:val="both"/>
        <w:rPr>
          <w:rFonts w:asciiTheme="minorHAnsi" w:hAnsiTheme="minorHAnsi" w:cstheme="minorHAnsi"/>
          <w:sz w:val="22"/>
          <w:szCs w:val="22"/>
        </w:rPr>
      </w:pPr>
      <w:r w:rsidRPr="00CB4BA4">
        <w:rPr>
          <w:rFonts w:asciiTheme="minorHAnsi" w:hAnsiTheme="minorHAnsi" w:cstheme="minorHAnsi"/>
          <w:sz w:val="22"/>
          <w:szCs w:val="22"/>
        </w:rPr>
        <w:t xml:space="preserve">Argentina. </w:t>
      </w:r>
      <w:proofErr w:type="gramStart"/>
      <w:r w:rsidRPr="00CB4BA4">
        <w:rPr>
          <w:rFonts w:asciiTheme="minorHAnsi" w:hAnsiTheme="minorHAnsi" w:cstheme="minorHAnsi"/>
          <w:b/>
          <w:bCs/>
          <w:sz w:val="22"/>
          <w:szCs w:val="22"/>
        </w:rPr>
        <w:t>Ley N.º</w:t>
      </w:r>
      <w:proofErr w:type="gramEnd"/>
      <w:r w:rsidRPr="00CB4BA4">
        <w:rPr>
          <w:rFonts w:asciiTheme="minorHAnsi" w:hAnsiTheme="minorHAnsi" w:cstheme="minorHAnsi"/>
          <w:b/>
          <w:bCs/>
          <w:sz w:val="22"/>
          <w:szCs w:val="22"/>
        </w:rPr>
        <w:t xml:space="preserve"> 26.529. Derechos del paciente, historia clínica y consentimiento informado</w:t>
      </w:r>
      <w:r w:rsidRPr="00CB4BA4">
        <w:rPr>
          <w:rFonts w:asciiTheme="minorHAnsi" w:hAnsiTheme="minorHAnsi" w:cstheme="minorHAnsi"/>
          <w:sz w:val="22"/>
          <w:szCs w:val="22"/>
        </w:rPr>
        <w:t>. Buenos Aires: Congreso de la Nación; 2009. Modificada por Ley 26.742/2012 y Ley 26.812/2013. Disponible en:</w:t>
      </w:r>
      <w:r w:rsidRPr="00CB4BA4">
        <w:rPr>
          <w:rFonts w:asciiTheme="minorHAnsi" w:hAnsiTheme="minorHAnsi" w:cstheme="minorHAnsi"/>
          <w:sz w:val="22"/>
          <w:szCs w:val="22"/>
        </w:rPr>
        <w:br/>
      </w:r>
      <w:hyperlink r:id="rId14" w:tgtFrame="_new" w:history="1">
        <w:r w:rsidRPr="00CB4BA4">
          <w:rPr>
            <w:rStyle w:val="Hipervnculo"/>
            <w:rFonts w:asciiTheme="minorHAnsi" w:hAnsiTheme="minorHAnsi" w:cstheme="minorHAnsi"/>
            <w:sz w:val="22"/>
            <w:szCs w:val="22"/>
          </w:rPr>
          <w:t>http://servicios.infoleg.gob.ar/infolegInternet/anexos/160000-164999/160432/norma.htm</w:t>
        </w:r>
      </w:hyperlink>
    </w:p>
    <w:sectPr w:rsidR="00D60B5F" w:rsidRPr="00CB4BA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63E2" w14:textId="77777777" w:rsidR="00090B66" w:rsidRDefault="00090B66" w:rsidP="00320A00">
      <w:pPr>
        <w:spacing w:after="0" w:line="240" w:lineRule="auto"/>
      </w:pPr>
      <w:r>
        <w:separator/>
      </w:r>
    </w:p>
  </w:endnote>
  <w:endnote w:type="continuationSeparator" w:id="0">
    <w:p w14:paraId="5FE0C5DE" w14:textId="77777777" w:rsidR="00090B66" w:rsidRDefault="00090B66" w:rsidP="0032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M">
    <w:altName w:val="Calibri"/>
    <w:charset w:val="00"/>
    <w:family w:val="auto"/>
    <w:pitch w:val="variable"/>
    <w:sig w:usb0="A10000F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51DE" w14:textId="77777777" w:rsidR="00090B66" w:rsidRDefault="00090B66" w:rsidP="00320A00">
      <w:pPr>
        <w:spacing w:after="0" w:line="240" w:lineRule="auto"/>
      </w:pPr>
      <w:r>
        <w:separator/>
      </w:r>
    </w:p>
  </w:footnote>
  <w:footnote w:type="continuationSeparator" w:id="0">
    <w:p w14:paraId="74D46A4A" w14:textId="77777777" w:rsidR="00090B66" w:rsidRDefault="00090B66" w:rsidP="0032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8D6E" w14:textId="2D748269" w:rsidR="00320A00" w:rsidRDefault="00320A00" w:rsidP="00320A00">
    <w:pPr>
      <w:widowControl w:val="0"/>
      <w:spacing w:before="92" w:line="240" w:lineRule="auto"/>
      <w:rPr>
        <w:b/>
        <w:bCs/>
        <w:color w:val="0000FF"/>
        <w:lang w:val="es-E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5341C1FB" wp14:editId="5B92E553">
          <wp:simplePos x="0" y="0"/>
          <wp:positionH relativeFrom="column">
            <wp:posOffset>2462530</wp:posOffset>
          </wp:positionH>
          <wp:positionV relativeFrom="paragraph">
            <wp:posOffset>-152400</wp:posOffset>
          </wp:positionV>
          <wp:extent cx="69088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D873B" w14:textId="77777777" w:rsidR="00320A00" w:rsidRDefault="00320A00" w:rsidP="00320A00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07A9CD36" w14:textId="77777777" w:rsidR="00320A00" w:rsidRDefault="00320A00" w:rsidP="00320A00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18323DE0" w14:textId="77777777" w:rsidR="00320A00" w:rsidRDefault="00320A00" w:rsidP="00320A00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5A7C8920" w14:textId="77777777" w:rsidR="00320A00" w:rsidRDefault="00320A00" w:rsidP="00320A00">
    <w:pPr>
      <w:widowControl w:val="0"/>
      <w:spacing w:before="92" w:line="240" w:lineRule="auto"/>
      <w:rPr>
        <w:rFonts w:ascii="Times New Roman" w:eastAsia="Times New Roman" w:hAnsi="Times New Roman" w:cs="Times New Roman"/>
        <w:b/>
        <w:bCs/>
        <w:color w:val="0000FF"/>
        <w:lang w:val="es-ES"/>
      </w:rPr>
    </w:pPr>
  </w:p>
  <w:p w14:paraId="76A566CA" w14:textId="77777777" w:rsidR="00320A00" w:rsidRDefault="00320A00" w:rsidP="00320A00">
    <w:pPr>
      <w:widowControl w:val="0"/>
      <w:spacing w:before="92" w:line="240" w:lineRule="auto"/>
      <w:rPr>
        <w:rFonts w:ascii="Times New Roman" w:eastAsia="Times New Roman" w:hAnsi="Times New Roman" w:cs="Times New Roman"/>
        <w:lang w:val="es-ES"/>
      </w:rPr>
    </w:pPr>
    <w:r>
      <w:rPr>
        <w:rFonts w:ascii="Times New Roman" w:eastAsia="Times New Roman" w:hAnsi="Times New Roman" w:cs="Times New Roman"/>
        <w:b/>
        <w:bCs/>
        <w:lang w:val="es-ES"/>
      </w:rPr>
      <w:t xml:space="preserve">                           </w:t>
    </w:r>
    <w:r>
      <w:rPr>
        <w:rFonts w:ascii="Times New Roman" w:eastAsia="Times New Roman" w:hAnsi="Times New Roman" w:cs="Times New Roman"/>
        <w:lang w:val="es-ES"/>
      </w:rPr>
      <w:t xml:space="preserve">“Año del 90 Aniversario de la Fiesta </w:t>
    </w:r>
    <w:proofErr w:type="gramStart"/>
    <w:r>
      <w:rPr>
        <w:rFonts w:ascii="Times New Roman" w:eastAsia="Times New Roman" w:hAnsi="Times New Roman" w:cs="Times New Roman"/>
        <w:lang w:val="es-ES"/>
      </w:rPr>
      <w:t>Nacional  de</w:t>
    </w:r>
    <w:proofErr w:type="gramEnd"/>
    <w:r>
      <w:rPr>
        <w:rFonts w:ascii="Times New Roman" w:eastAsia="Times New Roman" w:hAnsi="Times New Roman" w:cs="Times New Roman"/>
        <w:lang w:val="es-ES"/>
      </w:rPr>
      <w:t xml:space="preserve"> la Vendimia”</w:t>
    </w:r>
  </w:p>
  <w:p w14:paraId="42654F3D" w14:textId="77777777" w:rsidR="00320A00" w:rsidRDefault="00320A00" w:rsidP="00320A00">
    <w:pPr>
      <w:widowControl w:val="0"/>
      <w:spacing w:before="92" w:line="240" w:lineRule="auto"/>
      <w:rPr>
        <w:rFonts w:ascii="Arial" w:eastAsia="Arial" w:hAnsi="Arial" w:cs="Arial"/>
        <w:b/>
        <w:bCs/>
        <w:color w:val="0000FF"/>
        <w:lang w:val="es-ES"/>
      </w:rPr>
    </w:pPr>
  </w:p>
  <w:p w14:paraId="439DBABD" w14:textId="77777777" w:rsidR="00320A00" w:rsidRDefault="00320A00" w:rsidP="00320A00">
    <w:pPr>
      <w:widowControl w:val="0"/>
      <w:spacing w:before="92" w:line="240" w:lineRule="auto"/>
      <w:rPr>
        <w:rFonts w:asciiTheme="minorHAnsi" w:eastAsiaTheme="minorEastAsia" w:hAnsiTheme="minorHAnsi" w:cstheme="minorBidi"/>
        <w:b/>
        <w:bCs/>
        <w:sz w:val="26"/>
        <w:szCs w:val="26"/>
        <w:lang w:val="es-ES"/>
      </w:rPr>
    </w:pPr>
    <w:r>
      <w:rPr>
        <w:b/>
        <w:bCs/>
        <w:color w:val="0000FF"/>
        <w:lang w:val="es-ES"/>
      </w:rPr>
      <w:t xml:space="preserve">Ministerio de Salud y Deportes </w:t>
    </w:r>
  </w:p>
  <w:p w14:paraId="4E969704" w14:textId="77777777" w:rsidR="00320A00" w:rsidRDefault="00320A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5F"/>
    <w:rsid w:val="00090B66"/>
    <w:rsid w:val="002F0594"/>
    <w:rsid w:val="002F0675"/>
    <w:rsid w:val="00313F77"/>
    <w:rsid w:val="00320A00"/>
    <w:rsid w:val="003333B4"/>
    <w:rsid w:val="00370CEB"/>
    <w:rsid w:val="00544F75"/>
    <w:rsid w:val="008B09D9"/>
    <w:rsid w:val="008B421B"/>
    <w:rsid w:val="00B40E84"/>
    <w:rsid w:val="00B81A90"/>
    <w:rsid w:val="00CB4BA4"/>
    <w:rsid w:val="00D26259"/>
    <w:rsid w:val="00D60B5F"/>
    <w:rsid w:val="00F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C7FC8"/>
  <w15:chartTrackingRefBased/>
  <w15:docId w15:val="{82DF0768-544A-4888-8E82-899FB690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 Light" w:eastAsiaTheme="minorHAnsi" w:hAnsi="Avenir Next LT Pro Light" w:cs="REM"/>
        <w:sz w:val="24"/>
        <w:szCs w:val="24"/>
        <w:lang w:val="es-A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B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B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B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B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0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B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B5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0B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0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0B5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A00"/>
  </w:style>
  <w:style w:type="paragraph" w:styleId="Piedepgina">
    <w:name w:val="footer"/>
    <w:basedOn w:val="Normal"/>
    <w:link w:val="PiedepginaCar"/>
    <w:uiPriority w:val="99"/>
    <w:unhideWhenUsed/>
    <w:rsid w:val="0032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120334715000441" TargetMode="External"/><Relationship Id="rId13" Type="http://schemas.openxmlformats.org/officeDocument/2006/relationships/hyperlink" Target="https://www.sadi.org.ar/publicaciones/1871-recomendaciones-de-diagnostico-y-tratamiento-de-las-infecciones-de-transmision-sexual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337/dc25-S002" TargetMode="External"/><Relationship Id="rId12" Type="http://schemas.openxmlformats.org/officeDocument/2006/relationships/hyperlink" Target="https://www.who.int/es/publications/b/591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ms.ifcc.org/media/333582/2015%20Pr%C3%A1cticas%20B%C3%A1sicas%20de%20Control%20de%20Calidad.pdf" TargetMode="External"/><Relationship Id="rId11" Type="http://schemas.openxmlformats.org/officeDocument/2006/relationships/hyperlink" Target="https://www.argentina.gob.ar/salud/epidemiologia/algoritmo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argentina.gob.ar/sites/default/files/2021/01/recomendaciones-rn-consumo-sustancia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cq.unc.edu.ar/wp-content/uploads/2024/11/determinacio%CC%81n-de-anticuerpos-antinucleares-por-ifi.pdf" TargetMode="External"/><Relationship Id="rId14" Type="http://schemas.openxmlformats.org/officeDocument/2006/relationships/hyperlink" Target="http://servicios.infoleg.gob.ar/infolegInternet/anexos/160000-164999/160432/norma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Vergara</dc:creator>
  <cp:keywords/>
  <dc:description/>
  <cp:lastModifiedBy>Usuario</cp:lastModifiedBy>
  <cp:revision>4</cp:revision>
  <dcterms:created xsi:type="dcterms:W3CDTF">2026-03-12T11:54:00Z</dcterms:created>
  <dcterms:modified xsi:type="dcterms:W3CDTF">2026-03-12T12:31:00Z</dcterms:modified>
</cp:coreProperties>
</file>