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54A" w:rsidRDefault="000A454A">
      <w:pPr>
        <w:tabs>
          <w:tab w:val="left" w:pos="-1440"/>
          <w:tab w:val="left" w:pos="-720"/>
        </w:tabs>
        <w:spacing w:line="360" w:lineRule="auto"/>
        <w:jc w:val="both"/>
        <w:rPr>
          <w:lang w:val="es-ES_tradnl"/>
        </w:rPr>
      </w:pPr>
    </w:p>
    <w:p w:rsidR="004D5A1B" w:rsidRDefault="004D5A1B" w:rsidP="004D5A1B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4D5A1B" w:rsidRDefault="004D5A1B" w:rsidP="004D5A1B">
      <w:pPr>
        <w:jc w:val="both"/>
        <w:rPr>
          <w:b/>
          <w:lang w:val="es-MX"/>
        </w:rPr>
      </w:pPr>
    </w:p>
    <w:p w:rsidR="004D5A1B" w:rsidRDefault="004D5A1B" w:rsidP="004D5A1B">
      <w:pPr>
        <w:jc w:val="center"/>
        <w:rPr>
          <w:b/>
          <w:lang w:val="es-MX"/>
        </w:rPr>
      </w:pPr>
      <w:r w:rsidRPr="00C901ED">
        <w:rPr>
          <w:b/>
          <w:lang w:val="es-MX"/>
        </w:rPr>
        <w:t xml:space="preserve">ANEXO 30: ART. 5 </w:t>
      </w:r>
      <w:proofErr w:type="spellStart"/>
      <w:r w:rsidRPr="00C901ED">
        <w:rPr>
          <w:b/>
          <w:lang w:val="es-MX"/>
        </w:rPr>
        <w:t>Inc</w:t>
      </w:r>
      <w:proofErr w:type="spellEnd"/>
      <w:r w:rsidRPr="00C901ED">
        <w:rPr>
          <w:b/>
          <w:lang w:val="es-MX"/>
        </w:rPr>
        <w:t xml:space="preserve"> d)</w:t>
      </w:r>
    </w:p>
    <w:p w:rsidR="009E064B" w:rsidRDefault="009E064B" w:rsidP="004D5A1B">
      <w:pPr>
        <w:jc w:val="center"/>
        <w:rPr>
          <w:b/>
          <w:lang w:val="es-MX"/>
        </w:rPr>
      </w:pPr>
    </w:p>
    <w:p w:rsidR="004D5A1B" w:rsidRDefault="004D5A1B" w:rsidP="004D5A1B">
      <w:pPr>
        <w:jc w:val="center"/>
        <w:rPr>
          <w:b/>
          <w:lang w:val="es-MX"/>
        </w:rPr>
      </w:pP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4D5A1B" w:rsidRDefault="00A95148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proofErr w:type="spellStart"/>
      <w:r>
        <w:rPr>
          <w:b/>
          <w:lang w:val="es-MX"/>
        </w:rPr>
        <w:t>Nomenclador</w:t>
      </w:r>
      <w:proofErr w:type="gramStart"/>
      <w:r>
        <w:rPr>
          <w:b/>
          <w:lang w:val="es-MX"/>
        </w:rPr>
        <w:t>:</w:t>
      </w:r>
      <w:r w:rsidR="004D5A1B">
        <w:rPr>
          <w:b/>
          <w:lang w:val="es-MX"/>
        </w:rPr>
        <w:t>Carácter</w:t>
      </w:r>
      <w:proofErr w:type="spellEnd"/>
      <w:proofErr w:type="gramEnd"/>
      <w:r w:rsidR="004D5A1B">
        <w:rPr>
          <w:b/>
          <w:lang w:val="es-MX"/>
        </w:rPr>
        <w:t xml:space="preserve"> 01; Jurisdicción 02 (no incluye Ministerio Público Fiscal)</w:t>
      </w: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4D5A1B" w:rsidRDefault="0016323C" w:rsidP="006A01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es-MX"/>
        </w:rPr>
      </w:pPr>
      <w:r>
        <w:rPr>
          <w:b/>
          <w:lang w:val="es-MX"/>
        </w:rPr>
        <w:t>Ejercicio: 202</w:t>
      </w:r>
      <w:r w:rsidR="009E064B">
        <w:rPr>
          <w:b/>
          <w:lang w:val="es-MX"/>
        </w:rPr>
        <w:t>5</w:t>
      </w:r>
      <w:r w:rsidR="00544609">
        <w:rPr>
          <w:b/>
          <w:lang w:val="es-MX"/>
        </w:rPr>
        <w:tab/>
      </w:r>
      <w:r w:rsidR="004D5A1B">
        <w:rPr>
          <w:b/>
          <w:lang w:val="es-MX"/>
        </w:rPr>
        <w:t xml:space="preserve">                                                 Trimestre:</w:t>
      </w:r>
      <w:r w:rsidR="0037775E">
        <w:rPr>
          <w:b/>
          <w:lang w:val="es-MX"/>
        </w:rPr>
        <w:t xml:space="preserve"> TERCER</w:t>
      </w:r>
    </w:p>
    <w:p w:rsidR="004D5A1B" w:rsidRPr="007C44A0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6A01FE" w:rsidRDefault="006A01FE" w:rsidP="004D5A1B">
      <w:pPr>
        <w:autoSpaceDE w:val="0"/>
        <w:autoSpaceDN w:val="0"/>
        <w:adjustRightInd w:val="0"/>
        <w:spacing w:line="360" w:lineRule="auto"/>
        <w:jc w:val="both"/>
        <w:rPr>
          <w:lang w:val="es-MX"/>
        </w:rPr>
      </w:pPr>
    </w:p>
    <w:p w:rsidR="00A95148" w:rsidRDefault="004D5A1B" w:rsidP="004D5A1B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F72F10">
        <w:rPr>
          <w:lang w:val="es-MX"/>
        </w:rPr>
        <w:t xml:space="preserve">GASTOS CORRIENTES y DE CAPITAL: </w:t>
      </w:r>
      <w:r w:rsidRPr="00F72F10">
        <w:rPr>
          <w:b/>
          <w:bCs/>
        </w:rPr>
        <w:t xml:space="preserve">Información Artículo  27 Ley 7.314 y 5° </w:t>
      </w:r>
      <w:proofErr w:type="spellStart"/>
      <w:r w:rsidRPr="00F72F10">
        <w:rPr>
          <w:b/>
          <w:bCs/>
        </w:rPr>
        <w:t>inc</w:t>
      </w:r>
      <w:proofErr w:type="spellEnd"/>
      <w:r w:rsidRPr="00F72F10">
        <w:rPr>
          <w:b/>
          <w:bCs/>
        </w:rPr>
        <w:t xml:space="preserve"> d) Acuerdo 3949 y su </w:t>
      </w:r>
      <w:proofErr w:type="spellStart"/>
      <w:r w:rsidRPr="00F72F10">
        <w:rPr>
          <w:b/>
          <w:bCs/>
        </w:rPr>
        <w:t>modifc</w:t>
      </w:r>
      <w:proofErr w:type="spellEnd"/>
      <w:r w:rsidRPr="00F72F10">
        <w:rPr>
          <w:b/>
          <w:bCs/>
        </w:rPr>
        <w:t xml:space="preserve">. 4.559 – Desvíos: </w:t>
      </w:r>
    </w:p>
    <w:p w:rsidR="00A95148" w:rsidRDefault="00A95148" w:rsidP="009E064B">
      <w:pPr>
        <w:spacing w:line="360" w:lineRule="auto"/>
        <w:jc w:val="both"/>
      </w:pPr>
      <w:r>
        <w:t>Con respecto a los gastos corrientes, salvo la partida de personal, se está cumpliendo con lo programado. Los acuerdos paritarios que se vaya</w:t>
      </w:r>
      <w:r w:rsidR="0020416A">
        <w:t>n</w:t>
      </w:r>
      <w:r>
        <w:t xml:space="preserve"> cerrando, marcarán los de</w:t>
      </w:r>
      <w:r>
        <w:t>s</w:t>
      </w:r>
      <w:r>
        <w:t xml:space="preserve">víos que se puedan ir generando, teniendo en cuenta la metodología que utilizó el Poder Ejecutivo para estimar esta partida en particular. </w:t>
      </w:r>
    </w:p>
    <w:p w:rsidR="00544609" w:rsidRPr="00544609" w:rsidRDefault="00544609" w:rsidP="009E064B">
      <w:pPr>
        <w:spacing w:line="360" w:lineRule="auto"/>
        <w:jc w:val="both"/>
      </w:pPr>
      <w:r w:rsidRPr="00544609">
        <w:t xml:space="preserve">Con relación a los gastos de Capital </w:t>
      </w:r>
      <w:r w:rsidR="009E064B">
        <w:t xml:space="preserve">se </w:t>
      </w:r>
      <w:r w:rsidR="0037775E">
        <w:t xml:space="preserve">mantendrán los desvíos dado que </w:t>
      </w:r>
      <w:r w:rsidR="009E064B">
        <w:t xml:space="preserve">la erogación que va a demandar la construcción del Polo Judicial de </w:t>
      </w:r>
      <w:proofErr w:type="spellStart"/>
      <w:r w:rsidR="009E064B">
        <w:t>Tunuyán</w:t>
      </w:r>
      <w:proofErr w:type="spellEnd"/>
      <w:r w:rsidR="009E064B">
        <w:t xml:space="preserve"> será muy inferior a lo pr</w:t>
      </w:r>
      <w:r w:rsidR="009E064B">
        <w:t>o</w:t>
      </w:r>
      <w:r w:rsidR="009E064B">
        <w:t>gramado debido principalmente a la actualización y aplicación del anticipo que</w:t>
      </w:r>
      <w:r w:rsidR="00A95148">
        <w:t xml:space="preserve"> fue entregado a fines del 2022.</w:t>
      </w:r>
    </w:p>
    <w:p w:rsidR="004D5A1B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9E064B" w:rsidRDefault="009E064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bookmarkStart w:id="0" w:name="_GoBack"/>
      <w:bookmarkEnd w:id="0"/>
    </w:p>
    <w:p w:rsidR="009E064B" w:rsidRDefault="009E064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C828D4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DIRECCION DE CONTABILI</w:t>
      </w:r>
      <w:r w:rsidR="00C828D4">
        <w:rPr>
          <w:rFonts w:ascii="Arial" w:hAnsi="Arial" w:cs="Arial"/>
          <w:b/>
          <w:bCs/>
          <w:sz w:val="16"/>
          <w:szCs w:val="16"/>
        </w:rPr>
        <w:t>DAD Y FINANZAS</w:t>
      </w:r>
    </w:p>
    <w:p w:rsidR="009E064B" w:rsidRDefault="00C828D4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Mendoza</w:t>
      </w:r>
      <w:r w:rsidR="00C517EB">
        <w:rPr>
          <w:rFonts w:ascii="Arial" w:hAnsi="Arial" w:cs="Arial"/>
          <w:b/>
          <w:bCs/>
          <w:sz w:val="16"/>
          <w:szCs w:val="16"/>
        </w:rPr>
        <w:t>,</w:t>
      </w:r>
      <w:r w:rsidR="00CA2C5B">
        <w:rPr>
          <w:rFonts w:ascii="Arial" w:hAnsi="Arial" w:cs="Arial"/>
          <w:b/>
          <w:bCs/>
          <w:sz w:val="16"/>
          <w:szCs w:val="16"/>
        </w:rPr>
        <w:t xml:space="preserve"> </w:t>
      </w:r>
      <w:r w:rsidR="0037775E">
        <w:rPr>
          <w:rFonts w:ascii="Arial" w:hAnsi="Arial" w:cs="Arial"/>
          <w:b/>
          <w:bCs/>
          <w:sz w:val="16"/>
          <w:szCs w:val="16"/>
        </w:rPr>
        <w:t>Noviembre</w:t>
      </w:r>
      <w:r w:rsidR="00C517EB">
        <w:rPr>
          <w:rFonts w:ascii="Arial" w:hAnsi="Arial" w:cs="Arial"/>
          <w:b/>
          <w:bCs/>
          <w:sz w:val="16"/>
          <w:szCs w:val="16"/>
        </w:rPr>
        <w:t xml:space="preserve"> </w:t>
      </w:r>
      <w:r w:rsidR="004D5A1B">
        <w:rPr>
          <w:rFonts w:ascii="Arial" w:hAnsi="Arial" w:cs="Arial"/>
          <w:b/>
          <w:bCs/>
          <w:sz w:val="16"/>
          <w:szCs w:val="16"/>
        </w:rPr>
        <w:t>20</w:t>
      </w:r>
      <w:r w:rsidR="006A01FE">
        <w:rPr>
          <w:rFonts w:ascii="Arial" w:hAnsi="Arial" w:cs="Arial"/>
          <w:b/>
          <w:bCs/>
          <w:sz w:val="16"/>
          <w:szCs w:val="16"/>
        </w:rPr>
        <w:t>2</w:t>
      </w:r>
      <w:r w:rsidR="009E064B">
        <w:rPr>
          <w:rFonts w:ascii="Arial" w:hAnsi="Arial" w:cs="Arial"/>
          <w:b/>
          <w:bCs/>
          <w:sz w:val="16"/>
          <w:szCs w:val="16"/>
        </w:rPr>
        <w:t>5</w:t>
      </w:r>
    </w:p>
    <w:p w:rsidR="004D5A1B" w:rsidRDefault="004D5A1B" w:rsidP="004D5A1B">
      <w:pPr>
        <w:tabs>
          <w:tab w:val="left" w:pos="4680"/>
        </w:tabs>
        <w:spacing w:line="360" w:lineRule="auto"/>
        <w:jc w:val="both"/>
        <w:rPr>
          <w:lang w:val="es-MX"/>
        </w:rPr>
      </w:pPr>
      <w:r>
        <w:rPr>
          <w:lang w:val="es-MX"/>
        </w:rPr>
        <w:t xml:space="preserve"> </w:t>
      </w:r>
    </w:p>
    <w:p w:rsidR="004D5A1B" w:rsidRPr="006471E2" w:rsidRDefault="004D5A1B" w:rsidP="004D5A1B">
      <w:pPr>
        <w:rPr>
          <w:lang w:val="es-MX"/>
        </w:rPr>
      </w:pPr>
    </w:p>
    <w:p w:rsidR="0071517C" w:rsidRPr="004D5A1B" w:rsidRDefault="0071517C" w:rsidP="004D5A1B">
      <w:pPr>
        <w:jc w:val="center"/>
        <w:rPr>
          <w:rFonts w:ascii="Arial" w:hAnsi="Arial" w:cs="Arial"/>
          <w:b/>
          <w:bCs/>
          <w:sz w:val="16"/>
          <w:szCs w:val="16"/>
          <w:lang w:val="es-MX"/>
        </w:rPr>
      </w:pPr>
    </w:p>
    <w:sectPr w:rsidR="0071517C" w:rsidRPr="004D5A1B" w:rsidSect="0071517C">
      <w:headerReference w:type="default" r:id="rId8"/>
      <w:footerReference w:type="default" r:id="rId9"/>
      <w:pgSz w:w="12240" w:h="20160" w:code="5"/>
      <w:pgMar w:top="2835" w:right="1134" w:bottom="1701" w:left="2835" w:header="567" w:footer="567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662" w:rsidRDefault="00AE3662">
      <w:r>
        <w:separator/>
      </w:r>
    </w:p>
  </w:endnote>
  <w:endnote w:type="continuationSeparator" w:id="0">
    <w:p w:rsidR="00AE3662" w:rsidRDefault="00AE3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662" w:rsidRDefault="00AE3662">
    <w:pPr>
      <w:spacing w:before="140" w:line="100" w:lineRule="exact"/>
      <w:rPr>
        <w:sz w:val="10"/>
        <w:szCs w:val="10"/>
      </w:rPr>
    </w:pPr>
  </w:p>
  <w:p w:rsidR="00AE3662" w:rsidRDefault="00AE3662">
    <w:pPr>
      <w:tabs>
        <w:tab w:val="right" w:pos="9069"/>
      </w:tabs>
      <w:suppressAutoHyphens/>
      <w:spacing w:line="312" w:lineRule="atLeast"/>
      <w:jc w:val="both"/>
      <w:rPr>
        <w:u w:val="double"/>
        <w:lang w:val="es-ES_tradnl"/>
      </w:rPr>
    </w:pPr>
    <w:r>
      <w:rPr>
        <w:lang w:val="es-ES_tradn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662" w:rsidRDefault="00AE3662">
      <w:r>
        <w:separator/>
      </w:r>
    </w:p>
  </w:footnote>
  <w:footnote w:type="continuationSeparator" w:id="0">
    <w:p w:rsidR="00AE3662" w:rsidRDefault="00AE36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662" w:rsidRDefault="00AE3662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  <w:r>
      <w:rPr>
        <w:noProof/>
        <w:sz w:val="20"/>
        <w:lang w:val="es-AR" w:eastAsia="es-AR"/>
      </w:rPr>
      <w:drawing>
        <wp:inline distT="0" distB="0" distL="0" distR="0">
          <wp:extent cx="3648075" cy="933450"/>
          <wp:effectExtent l="0" t="0" r="9525" b="0"/>
          <wp:docPr id="1" name="Imagen 1" descr="01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7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3662" w:rsidRDefault="00AE3662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AE3662" w:rsidRDefault="00AE3662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AE3662" w:rsidRDefault="00AE3662">
    <w:pPr>
      <w:pStyle w:val="Encabezado"/>
      <w:tabs>
        <w:tab w:val="clear" w:pos="4419"/>
        <w:tab w:val="clear" w:pos="8838"/>
        <w:tab w:val="left" w:pos="-720"/>
      </w:tabs>
      <w:suppressAutoHyphens/>
    </w:pPr>
  </w:p>
  <w:p w:rsidR="00AE3662" w:rsidRDefault="00AE3662">
    <w:pPr>
      <w:pStyle w:val="Encabezado"/>
      <w:tabs>
        <w:tab w:val="clear" w:pos="4419"/>
        <w:tab w:val="clear" w:pos="8838"/>
        <w:tab w:val="left" w:pos="-720"/>
      </w:tabs>
      <w:suppressAutoHyphens/>
      <w:rPr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hdrShapeDefaults>
    <o:shapedefaults v:ext="edit" spidmax="78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54A"/>
    <w:rsid w:val="00007A1C"/>
    <w:rsid w:val="000412BC"/>
    <w:rsid w:val="00067B82"/>
    <w:rsid w:val="000708ED"/>
    <w:rsid w:val="00091DFF"/>
    <w:rsid w:val="000A0715"/>
    <w:rsid w:val="000A454A"/>
    <w:rsid w:val="000C2961"/>
    <w:rsid w:val="00131A13"/>
    <w:rsid w:val="001507E7"/>
    <w:rsid w:val="001578BE"/>
    <w:rsid w:val="0016323C"/>
    <w:rsid w:val="00196548"/>
    <w:rsid w:val="001C2250"/>
    <w:rsid w:val="001D0551"/>
    <w:rsid w:val="0020416A"/>
    <w:rsid w:val="0020726D"/>
    <w:rsid w:val="002116BB"/>
    <w:rsid w:val="002206F7"/>
    <w:rsid w:val="00226BA8"/>
    <w:rsid w:val="00227CAB"/>
    <w:rsid w:val="002353FD"/>
    <w:rsid w:val="00261F20"/>
    <w:rsid w:val="002657C8"/>
    <w:rsid w:val="0027461C"/>
    <w:rsid w:val="00296DC3"/>
    <w:rsid w:val="002C3FD3"/>
    <w:rsid w:val="002E0CA7"/>
    <w:rsid w:val="00300281"/>
    <w:rsid w:val="00305B59"/>
    <w:rsid w:val="00313DBA"/>
    <w:rsid w:val="0031434F"/>
    <w:rsid w:val="00341CB3"/>
    <w:rsid w:val="003603E6"/>
    <w:rsid w:val="00362644"/>
    <w:rsid w:val="00371975"/>
    <w:rsid w:val="0037775E"/>
    <w:rsid w:val="0038163B"/>
    <w:rsid w:val="00390D74"/>
    <w:rsid w:val="0039342B"/>
    <w:rsid w:val="003A7C1A"/>
    <w:rsid w:val="003B1772"/>
    <w:rsid w:val="003B1844"/>
    <w:rsid w:val="003C38F6"/>
    <w:rsid w:val="003D451E"/>
    <w:rsid w:val="003E5211"/>
    <w:rsid w:val="00412AC2"/>
    <w:rsid w:val="00422CD8"/>
    <w:rsid w:val="004449C4"/>
    <w:rsid w:val="00444E15"/>
    <w:rsid w:val="00461F83"/>
    <w:rsid w:val="00466355"/>
    <w:rsid w:val="004B096B"/>
    <w:rsid w:val="004B1801"/>
    <w:rsid w:val="004C43C6"/>
    <w:rsid w:val="004D5A1B"/>
    <w:rsid w:val="005042FB"/>
    <w:rsid w:val="00510214"/>
    <w:rsid w:val="005131C3"/>
    <w:rsid w:val="00513DC0"/>
    <w:rsid w:val="00544609"/>
    <w:rsid w:val="00550B19"/>
    <w:rsid w:val="00571517"/>
    <w:rsid w:val="005B6FBF"/>
    <w:rsid w:val="005D7C92"/>
    <w:rsid w:val="005E0E14"/>
    <w:rsid w:val="005E6C67"/>
    <w:rsid w:val="005F7762"/>
    <w:rsid w:val="00637812"/>
    <w:rsid w:val="006773CB"/>
    <w:rsid w:val="00691CE3"/>
    <w:rsid w:val="00696FEA"/>
    <w:rsid w:val="006A01FE"/>
    <w:rsid w:val="006A640D"/>
    <w:rsid w:val="006B3067"/>
    <w:rsid w:val="006D0BAE"/>
    <w:rsid w:val="0071517C"/>
    <w:rsid w:val="00730584"/>
    <w:rsid w:val="007420C7"/>
    <w:rsid w:val="007709CC"/>
    <w:rsid w:val="00777692"/>
    <w:rsid w:val="00783773"/>
    <w:rsid w:val="00784E92"/>
    <w:rsid w:val="00785020"/>
    <w:rsid w:val="0079320F"/>
    <w:rsid w:val="007B44C1"/>
    <w:rsid w:val="007E0ED2"/>
    <w:rsid w:val="007E73DA"/>
    <w:rsid w:val="007F204A"/>
    <w:rsid w:val="007F5585"/>
    <w:rsid w:val="007F62EE"/>
    <w:rsid w:val="0082370D"/>
    <w:rsid w:val="00824BE2"/>
    <w:rsid w:val="00831167"/>
    <w:rsid w:val="00834843"/>
    <w:rsid w:val="00852C11"/>
    <w:rsid w:val="00860428"/>
    <w:rsid w:val="008977E5"/>
    <w:rsid w:val="008B0506"/>
    <w:rsid w:val="008F4E35"/>
    <w:rsid w:val="00900D77"/>
    <w:rsid w:val="00912FDD"/>
    <w:rsid w:val="00962E3D"/>
    <w:rsid w:val="0098086C"/>
    <w:rsid w:val="00996DF1"/>
    <w:rsid w:val="009C16AF"/>
    <w:rsid w:val="009D2163"/>
    <w:rsid w:val="009E064B"/>
    <w:rsid w:val="00A26398"/>
    <w:rsid w:val="00A62F30"/>
    <w:rsid w:val="00A7531C"/>
    <w:rsid w:val="00A75F92"/>
    <w:rsid w:val="00A95148"/>
    <w:rsid w:val="00AB0F91"/>
    <w:rsid w:val="00AE3662"/>
    <w:rsid w:val="00B47877"/>
    <w:rsid w:val="00B65E26"/>
    <w:rsid w:val="00B9047F"/>
    <w:rsid w:val="00BA13E2"/>
    <w:rsid w:val="00BB67C1"/>
    <w:rsid w:val="00BE2357"/>
    <w:rsid w:val="00BE4AEA"/>
    <w:rsid w:val="00BE5037"/>
    <w:rsid w:val="00BF35ED"/>
    <w:rsid w:val="00C013AD"/>
    <w:rsid w:val="00C01811"/>
    <w:rsid w:val="00C100F4"/>
    <w:rsid w:val="00C11AB9"/>
    <w:rsid w:val="00C12B39"/>
    <w:rsid w:val="00C40DCA"/>
    <w:rsid w:val="00C517EB"/>
    <w:rsid w:val="00C71877"/>
    <w:rsid w:val="00C7188C"/>
    <w:rsid w:val="00C828D4"/>
    <w:rsid w:val="00C901ED"/>
    <w:rsid w:val="00CA2C5B"/>
    <w:rsid w:val="00CE7C91"/>
    <w:rsid w:val="00D0073D"/>
    <w:rsid w:val="00D1663B"/>
    <w:rsid w:val="00D374DE"/>
    <w:rsid w:val="00D44276"/>
    <w:rsid w:val="00D61A1A"/>
    <w:rsid w:val="00D95EDE"/>
    <w:rsid w:val="00DC1A35"/>
    <w:rsid w:val="00DD02AB"/>
    <w:rsid w:val="00DE787E"/>
    <w:rsid w:val="00E04673"/>
    <w:rsid w:val="00E20020"/>
    <w:rsid w:val="00E27643"/>
    <w:rsid w:val="00E30FE0"/>
    <w:rsid w:val="00E441F8"/>
    <w:rsid w:val="00E57611"/>
    <w:rsid w:val="00E637C8"/>
    <w:rsid w:val="00E94D82"/>
    <w:rsid w:val="00EB40CB"/>
    <w:rsid w:val="00EC6200"/>
    <w:rsid w:val="00EE3CFB"/>
    <w:rsid w:val="00F15C14"/>
    <w:rsid w:val="00F60051"/>
    <w:rsid w:val="00F9306C"/>
    <w:rsid w:val="00FA09BA"/>
    <w:rsid w:val="00FC4CE0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Mendoza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Liliana Turkieniez</cp:lastModifiedBy>
  <cp:revision>5</cp:revision>
  <cp:lastPrinted>2019-04-05T15:06:00Z</cp:lastPrinted>
  <dcterms:created xsi:type="dcterms:W3CDTF">2025-08-07T14:03:00Z</dcterms:created>
  <dcterms:modified xsi:type="dcterms:W3CDTF">2025-11-07T16:11:00Z</dcterms:modified>
</cp:coreProperties>
</file>