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17C" w:rsidRDefault="000E2FD1" w:rsidP="00B17C03">
      <w:pPr>
        <w:suppressAutoHyphens/>
        <w:jc w:val="center"/>
        <w:rPr>
          <w:b/>
          <w:lang w:val="es-MX"/>
        </w:rPr>
      </w:pPr>
      <w:r>
        <w:rPr>
          <w:b/>
          <w:lang w:val="es-MX"/>
        </w:rPr>
        <w:t>ACUERDO N° 3949</w:t>
      </w:r>
    </w:p>
    <w:p w:rsidR="0071517C" w:rsidRDefault="0071517C" w:rsidP="00B17C03">
      <w:pPr>
        <w:suppressAutoHyphens/>
        <w:jc w:val="center"/>
        <w:rPr>
          <w:b/>
          <w:lang w:val="es-MX"/>
        </w:rPr>
      </w:pPr>
      <w:r>
        <w:rPr>
          <w:b/>
          <w:lang w:val="es-MX"/>
        </w:rPr>
        <w:t>ANEXO 30: ART. 5 Inc. c)</w:t>
      </w:r>
    </w:p>
    <w:p w:rsidR="0071517C" w:rsidRDefault="0071517C" w:rsidP="00B17C03">
      <w:pPr>
        <w:suppressAutoHyphens/>
        <w:jc w:val="center"/>
        <w:rPr>
          <w:b/>
          <w:lang w:val="es-MX"/>
        </w:rPr>
      </w:pPr>
    </w:p>
    <w:p w:rsidR="0071517C" w:rsidRDefault="0071517C" w:rsidP="00B17C03">
      <w:pPr>
        <w:pBdr>
          <w:top w:val="single" w:sz="4" w:space="1" w:color="auto"/>
          <w:left w:val="single" w:sz="4" w:space="4" w:color="auto"/>
          <w:bottom w:val="single" w:sz="4" w:space="1" w:color="auto"/>
          <w:right w:val="single" w:sz="4" w:space="4" w:color="auto"/>
        </w:pBdr>
        <w:suppressAutoHyphens/>
        <w:jc w:val="both"/>
        <w:rPr>
          <w:b/>
          <w:lang w:val="es-MX"/>
        </w:rPr>
      </w:pPr>
      <w:r>
        <w:rPr>
          <w:b/>
          <w:lang w:val="es-MX"/>
        </w:rPr>
        <w:t>Repartición/Organismo:   Poder Judicial de Mendoza</w:t>
      </w:r>
    </w:p>
    <w:p w:rsidR="0071517C" w:rsidRDefault="0071517C" w:rsidP="00B17C03">
      <w:pPr>
        <w:pBdr>
          <w:top w:val="single" w:sz="4" w:space="1" w:color="auto"/>
          <w:left w:val="single" w:sz="4" w:space="4" w:color="auto"/>
          <w:bottom w:val="single" w:sz="4" w:space="1" w:color="auto"/>
          <w:right w:val="single" w:sz="4" w:space="4" w:color="auto"/>
        </w:pBdr>
        <w:suppressAutoHyphens/>
        <w:jc w:val="both"/>
        <w:rPr>
          <w:b/>
          <w:lang w:val="es-MX"/>
        </w:rPr>
      </w:pPr>
      <w:r>
        <w:rPr>
          <w:b/>
          <w:lang w:val="es-MX"/>
        </w:rPr>
        <w:t>Nomenclador:    Carácter 01, Jurisdicción 02 (no incluye Ministerio Público)</w:t>
      </w:r>
    </w:p>
    <w:p w:rsidR="0071517C" w:rsidRDefault="00BF2E8B" w:rsidP="00B17C03">
      <w:pPr>
        <w:pBdr>
          <w:top w:val="single" w:sz="4" w:space="1" w:color="auto"/>
          <w:left w:val="single" w:sz="4" w:space="4" w:color="auto"/>
          <w:bottom w:val="single" w:sz="4" w:space="1" w:color="auto"/>
          <w:right w:val="single" w:sz="4" w:space="4" w:color="auto"/>
        </w:pBdr>
        <w:suppressAutoHyphens/>
        <w:jc w:val="both"/>
        <w:rPr>
          <w:b/>
          <w:lang w:val="es-MX"/>
        </w:rPr>
      </w:pPr>
      <w:r>
        <w:rPr>
          <w:b/>
          <w:lang w:val="es-MX"/>
        </w:rPr>
        <w:t xml:space="preserve">Ejercicio:   </w:t>
      </w:r>
      <w:r w:rsidR="00424A9F">
        <w:rPr>
          <w:b/>
          <w:lang w:val="es-MX"/>
        </w:rPr>
        <w:t>2025</w:t>
      </w:r>
      <w:r w:rsidR="0071517C">
        <w:rPr>
          <w:b/>
          <w:lang w:val="es-MX"/>
        </w:rPr>
        <w:t xml:space="preserve">                         </w:t>
      </w:r>
      <w:r w:rsidR="000F0DA3">
        <w:rPr>
          <w:b/>
          <w:lang w:val="es-MX"/>
        </w:rPr>
        <w:t xml:space="preserve">       </w:t>
      </w:r>
      <w:r w:rsidR="00E92620">
        <w:rPr>
          <w:b/>
          <w:lang w:val="es-MX"/>
        </w:rPr>
        <w:t xml:space="preserve">            </w:t>
      </w:r>
      <w:r w:rsidR="00E92620">
        <w:rPr>
          <w:b/>
          <w:lang w:val="es-MX"/>
        </w:rPr>
        <w:tab/>
      </w:r>
      <w:r w:rsidR="00E92620">
        <w:rPr>
          <w:b/>
          <w:lang w:val="es-MX"/>
        </w:rPr>
        <w:tab/>
      </w:r>
      <w:r w:rsidR="005661F2">
        <w:rPr>
          <w:b/>
          <w:lang w:val="es-MX"/>
        </w:rPr>
        <w:t xml:space="preserve">Trimestre: </w:t>
      </w:r>
      <w:r w:rsidR="0040100A">
        <w:rPr>
          <w:b/>
          <w:lang w:val="es-MX"/>
        </w:rPr>
        <w:t>TERCER</w:t>
      </w:r>
    </w:p>
    <w:p w:rsidR="0071517C" w:rsidRPr="00466B53" w:rsidRDefault="0071517C" w:rsidP="00B17C03">
      <w:pPr>
        <w:tabs>
          <w:tab w:val="left" w:pos="4680"/>
        </w:tabs>
        <w:suppressAutoHyphens/>
        <w:spacing w:line="360" w:lineRule="auto"/>
        <w:ind w:left="720"/>
        <w:jc w:val="both"/>
      </w:pPr>
    </w:p>
    <w:p w:rsidR="0071517C" w:rsidRPr="001A1E1F" w:rsidRDefault="0071517C" w:rsidP="00B17C03">
      <w:pPr>
        <w:numPr>
          <w:ilvl w:val="0"/>
          <w:numId w:val="1"/>
        </w:numPr>
        <w:tabs>
          <w:tab w:val="left" w:pos="4680"/>
        </w:tabs>
        <w:suppressAutoHyphens/>
        <w:spacing w:line="360" w:lineRule="auto"/>
        <w:jc w:val="both"/>
      </w:pPr>
      <w:r>
        <w:rPr>
          <w:lang w:val="es-MX"/>
        </w:rPr>
        <w:t>RECURSOS CORRIENTES Y DE CAPITAL: “</w:t>
      </w:r>
      <w:r>
        <w:rPr>
          <w:b/>
          <w:bCs/>
        </w:rPr>
        <w:t xml:space="preserve">Información Artículo 27 Ley 7.314 y 5° </w:t>
      </w:r>
      <w:proofErr w:type="spellStart"/>
      <w:r>
        <w:rPr>
          <w:b/>
          <w:bCs/>
        </w:rPr>
        <w:t>inc</w:t>
      </w:r>
      <w:proofErr w:type="spellEnd"/>
      <w:r>
        <w:rPr>
          <w:b/>
          <w:bCs/>
        </w:rPr>
        <w:t xml:space="preserve"> c) Acuerdo 3949 y su </w:t>
      </w:r>
      <w:proofErr w:type="spellStart"/>
      <w:r>
        <w:rPr>
          <w:b/>
          <w:bCs/>
        </w:rPr>
        <w:t>modifc</w:t>
      </w:r>
      <w:proofErr w:type="spellEnd"/>
      <w:r>
        <w:rPr>
          <w:b/>
          <w:bCs/>
        </w:rPr>
        <w:t xml:space="preserve">. </w:t>
      </w:r>
      <w:smartTag w:uri="urn:schemas-microsoft-com:office:smarttags" w:element="metricconverter">
        <w:smartTagPr>
          <w:attr w:name="ProductID" w:val="4.559”"/>
        </w:smartTagPr>
        <w:r>
          <w:rPr>
            <w:b/>
            <w:bCs/>
          </w:rPr>
          <w:t>4.559”</w:t>
        </w:r>
      </w:smartTag>
      <w:r>
        <w:rPr>
          <w:b/>
          <w:bCs/>
        </w:rPr>
        <w:t>.</w:t>
      </w:r>
    </w:p>
    <w:p w:rsidR="007F2460" w:rsidRDefault="003F41E1" w:rsidP="00B17C03">
      <w:pPr>
        <w:tabs>
          <w:tab w:val="left" w:pos="4680"/>
        </w:tabs>
        <w:suppressAutoHyphens/>
        <w:spacing w:line="360" w:lineRule="auto"/>
        <w:ind w:left="720"/>
        <w:jc w:val="both"/>
      </w:pPr>
      <w:r w:rsidRPr="00ED307B">
        <w:t xml:space="preserve">La recaudación </w:t>
      </w:r>
      <w:r w:rsidR="0071517C" w:rsidRPr="00ED307B">
        <w:t xml:space="preserve">en este período se muestra </w:t>
      </w:r>
      <w:r w:rsidR="00424A9F">
        <w:t>inferior</w:t>
      </w:r>
      <w:r w:rsidR="007F2460" w:rsidRPr="00ED307B">
        <w:t xml:space="preserve"> a la progr</w:t>
      </w:r>
      <w:r w:rsidR="00C87F05">
        <w:t>amada</w:t>
      </w:r>
      <w:r w:rsidR="0071517C" w:rsidRPr="00ED307B">
        <w:t>, debido a</w:t>
      </w:r>
      <w:r w:rsidR="00703696" w:rsidRPr="00ED307B">
        <w:t xml:space="preserve"> </w:t>
      </w:r>
      <w:r w:rsidR="00424A9F">
        <w:t>principalmente a que</w:t>
      </w:r>
      <w:r w:rsidR="00B35BEB" w:rsidRPr="00ED307B">
        <w:t xml:space="preserve"> la recaudación de</w:t>
      </w:r>
      <w:r w:rsidR="00703696" w:rsidRPr="00ED307B">
        <w:t xml:space="preserve"> </w:t>
      </w:r>
      <w:r w:rsidR="0071517C" w:rsidRPr="00ED307B">
        <w:t>la Tasa de Justicia</w:t>
      </w:r>
      <w:r w:rsidR="008D6591" w:rsidRPr="00ED307B">
        <w:t xml:space="preserve"> (Financiamien</w:t>
      </w:r>
      <w:r w:rsidR="00703696" w:rsidRPr="00ED307B">
        <w:t>to 21)</w:t>
      </w:r>
      <w:r w:rsidR="00B35BEB" w:rsidRPr="00ED307B">
        <w:t xml:space="preserve"> </w:t>
      </w:r>
      <w:r w:rsidR="00424A9F">
        <w:t xml:space="preserve">se </w:t>
      </w:r>
      <w:r w:rsidR="00B35BEB" w:rsidRPr="00ED307B">
        <w:t>estima en</w:t>
      </w:r>
      <w:r w:rsidR="007F2460" w:rsidRPr="00ED307B">
        <w:t xml:space="preserve"> la Programación Financiera 202</w:t>
      </w:r>
      <w:r w:rsidR="00424A9F">
        <w:t>5</w:t>
      </w:r>
      <w:r w:rsidR="00B35BEB" w:rsidRPr="00ED307B">
        <w:t xml:space="preserve"> pero no</w:t>
      </w:r>
      <w:r w:rsidR="00315FB0" w:rsidRPr="00ED307B">
        <w:t xml:space="preserve"> se incluye en el Anexo 3 debido a que </w:t>
      </w:r>
      <w:r w:rsidR="00424A9F">
        <w:t>se informa dentro del CUC 906. Esto inevitablemente genera un desvío en lo informado</w:t>
      </w:r>
      <w:r w:rsidR="00BC0194">
        <w:t xml:space="preserve"> pero se compensa cuando se analiza el consolidado.</w:t>
      </w:r>
    </w:p>
    <w:p w:rsidR="00424A9F" w:rsidRDefault="00424A9F" w:rsidP="00B17C03">
      <w:pPr>
        <w:tabs>
          <w:tab w:val="left" w:pos="4680"/>
        </w:tabs>
        <w:suppressAutoHyphens/>
        <w:spacing w:line="360" w:lineRule="auto"/>
        <w:ind w:left="720"/>
        <w:jc w:val="both"/>
      </w:pPr>
    </w:p>
    <w:p w:rsidR="0071517C" w:rsidRPr="00770ED5" w:rsidRDefault="0071517C" w:rsidP="00B17C03">
      <w:pPr>
        <w:tabs>
          <w:tab w:val="left" w:pos="4680"/>
        </w:tabs>
        <w:suppressAutoHyphens/>
        <w:spacing w:line="360" w:lineRule="auto"/>
        <w:ind w:left="720"/>
        <w:jc w:val="both"/>
      </w:pPr>
      <w:r>
        <w:rPr>
          <w:lang w:val="es-MX"/>
        </w:rPr>
        <w:t>GASTOS CORRIENTES Y DE CAPITAL: “</w:t>
      </w:r>
      <w:r>
        <w:rPr>
          <w:b/>
          <w:bCs/>
        </w:rPr>
        <w:t>Información Artículo 27 Ley 7.314 y 5</w:t>
      </w:r>
      <w:proofErr w:type="gramStart"/>
      <w:r>
        <w:rPr>
          <w:b/>
          <w:bCs/>
        </w:rPr>
        <w:t xml:space="preserve">°  </w:t>
      </w:r>
      <w:proofErr w:type="spellStart"/>
      <w:r>
        <w:rPr>
          <w:b/>
          <w:bCs/>
        </w:rPr>
        <w:t>inc</w:t>
      </w:r>
      <w:proofErr w:type="spellEnd"/>
      <w:proofErr w:type="gramEnd"/>
      <w:r>
        <w:rPr>
          <w:b/>
          <w:bCs/>
        </w:rPr>
        <w:t xml:space="preserve"> c) - Acuerdo 3949 y su </w:t>
      </w:r>
      <w:proofErr w:type="spellStart"/>
      <w:r>
        <w:rPr>
          <w:b/>
          <w:bCs/>
        </w:rPr>
        <w:t>modifc</w:t>
      </w:r>
      <w:proofErr w:type="spellEnd"/>
      <w:r>
        <w:rPr>
          <w:b/>
          <w:bCs/>
        </w:rPr>
        <w:t xml:space="preserve">. </w:t>
      </w:r>
      <w:smartTag w:uri="urn:schemas-microsoft-com:office:smarttags" w:element="metricconverter">
        <w:smartTagPr>
          <w:attr w:name="ProductID" w:val="4.559”"/>
        </w:smartTagPr>
        <w:r>
          <w:rPr>
            <w:b/>
            <w:bCs/>
          </w:rPr>
          <w:t>4.559”</w:t>
        </w:r>
      </w:smartTag>
      <w:r>
        <w:rPr>
          <w:b/>
          <w:bCs/>
        </w:rPr>
        <w:t>.</w:t>
      </w:r>
    </w:p>
    <w:p w:rsidR="00634C9D" w:rsidRDefault="009E200E" w:rsidP="00B17C03">
      <w:pPr>
        <w:tabs>
          <w:tab w:val="left" w:pos="4680"/>
        </w:tabs>
        <w:suppressAutoHyphens/>
        <w:spacing w:line="360" w:lineRule="auto"/>
        <w:ind w:left="720"/>
        <w:jc w:val="both"/>
      </w:pPr>
      <w:r w:rsidRPr="009E200E">
        <w:t xml:space="preserve">Las erogaciones corrientes han sido </w:t>
      </w:r>
      <w:r w:rsidR="00424A9F">
        <w:t xml:space="preserve">levemente </w:t>
      </w:r>
      <w:r w:rsidR="000D53A4">
        <w:t>superiores</w:t>
      </w:r>
      <w:r w:rsidR="00424A9F">
        <w:t xml:space="preserve"> a </w:t>
      </w:r>
      <w:r w:rsidRPr="009E200E">
        <w:t>l</w:t>
      </w:r>
      <w:r w:rsidR="00424A9F">
        <w:t xml:space="preserve">o </w:t>
      </w:r>
      <w:r w:rsidRPr="009E200E">
        <w:t>programado, producto principalme</w:t>
      </w:r>
      <w:r>
        <w:t>nte</w:t>
      </w:r>
      <w:r w:rsidR="00661EA1">
        <w:t xml:space="preserve"> </w:t>
      </w:r>
      <w:r w:rsidR="000D53A4">
        <w:t xml:space="preserve">de los aumento por </w:t>
      </w:r>
      <w:r w:rsidR="00634C9D">
        <w:t>ajustes paritarios</w:t>
      </w:r>
      <w:r w:rsidR="00BC0194">
        <w:t xml:space="preserve">. </w:t>
      </w:r>
    </w:p>
    <w:p w:rsidR="00057521" w:rsidRDefault="00ED307B" w:rsidP="00B17C03">
      <w:pPr>
        <w:tabs>
          <w:tab w:val="left" w:pos="4680"/>
        </w:tabs>
        <w:suppressAutoHyphens/>
        <w:spacing w:line="360" w:lineRule="auto"/>
        <w:ind w:left="720"/>
        <w:jc w:val="both"/>
      </w:pPr>
      <w:r>
        <w:t>E</w:t>
      </w:r>
      <w:r w:rsidR="00D87D59">
        <w:t>n cuanto a las erogaci</w:t>
      </w:r>
      <w:r w:rsidR="0044686D">
        <w:t>ones de capital</w:t>
      </w:r>
      <w:r w:rsidR="00BC0194">
        <w:t xml:space="preserve">, </w:t>
      </w:r>
      <w:r w:rsidR="00F813C0">
        <w:t xml:space="preserve">se </w:t>
      </w:r>
      <w:r w:rsidR="00BC0194">
        <w:t xml:space="preserve">muestran inferiores a lo programado principalmente por la ejecución del Polo Judicial de </w:t>
      </w:r>
      <w:proofErr w:type="spellStart"/>
      <w:r w:rsidR="00BC0194">
        <w:t>Tunuyán</w:t>
      </w:r>
      <w:proofErr w:type="spellEnd"/>
      <w:r w:rsidR="00675A7D">
        <w:t xml:space="preserve"> que </w:t>
      </w:r>
      <w:r w:rsidR="0040100A">
        <w:t>ha resultado ser inferior a lo programado y teniendo en cuenta que si bien en la programación se muestra como un gasto que disminuye el votado, en la práctica se paga mediante transferencia presupuestaria que reduce nuestro vigente, sin que ello tenga impacto alg</w:t>
      </w:r>
      <w:bookmarkStart w:id="0" w:name="_GoBack"/>
      <w:bookmarkEnd w:id="0"/>
      <w:r w:rsidR="0040100A">
        <w:t xml:space="preserve">uno en el devengado. </w:t>
      </w:r>
    </w:p>
    <w:p w:rsidR="000D53A4" w:rsidRDefault="000D53A4" w:rsidP="00B17C03">
      <w:pPr>
        <w:tabs>
          <w:tab w:val="left" w:pos="4680"/>
        </w:tabs>
        <w:suppressAutoHyphens/>
        <w:spacing w:line="360" w:lineRule="auto"/>
        <w:ind w:left="720"/>
        <w:jc w:val="both"/>
      </w:pPr>
    </w:p>
    <w:p w:rsidR="0040100A" w:rsidRDefault="0040100A" w:rsidP="00B17C03">
      <w:pPr>
        <w:suppressAutoHyphens/>
      </w:pPr>
    </w:p>
    <w:p w:rsidR="0040100A" w:rsidRDefault="0040100A" w:rsidP="00B17C03">
      <w:pPr>
        <w:suppressAutoHyphens/>
      </w:pPr>
    </w:p>
    <w:p w:rsidR="0040100A" w:rsidRDefault="0040100A" w:rsidP="00B17C03">
      <w:pPr>
        <w:suppressAutoHyphens/>
      </w:pPr>
    </w:p>
    <w:p w:rsidR="00003797" w:rsidRDefault="0071517C" w:rsidP="00B17C03">
      <w:pPr>
        <w:suppressAutoHyphens/>
        <w:rPr>
          <w:rFonts w:ascii="Arial" w:hAnsi="Arial" w:cs="Arial"/>
          <w:b/>
          <w:bCs/>
          <w:sz w:val="16"/>
          <w:szCs w:val="16"/>
        </w:rPr>
      </w:pPr>
      <w:r w:rsidRPr="0041030A">
        <w:rPr>
          <w:rFonts w:ascii="Arial" w:hAnsi="Arial" w:cs="Arial"/>
          <w:b/>
          <w:bCs/>
          <w:sz w:val="16"/>
          <w:szCs w:val="16"/>
        </w:rPr>
        <w:t>DIRECCION DE CONTABILIDAD Y FINAN</w:t>
      </w:r>
      <w:r w:rsidR="00003797">
        <w:rPr>
          <w:rFonts w:ascii="Arial" w:hAnsi="Arial" w:cs="Arial"/>
          <w:b/>
          <w:bCs/>
          <w:sz w:val="16"/>
          <w:szCs w:val="16"/>
        </w:rPr>
        <w:t>ZAS</w:t>
      </w:r>
    </w:p>
    <w:p w:rsidR="0071517C" w:rsidRDefault="0071517C" w:rsidP="00B17C03">
      <w:pPr>
        <w:suppressAutoHyphens/>
        <w:rPr>
          <w:rFonts w:ascii="Arial" w:hAnsi="Arial" w:cs="Arial"/>
          <w:b/>
          <w:bCs/>
          <w:sz w:val="16"/>
          <w:szCs w:val="16"/>
        </w:rPr>
      </w:pPr>
      <w:r>
        <w:rPr>
          <w:rFonts w:ascii="Arial" w:hAnsi="Arial" w:cs="Arial"/>
          <w:b/>
          <w:bCs/>
          <w:sz w:val="16"/>
          <w:szCs w:val="16"/>
        </w:rPr>
        <w:t>Mendoza</w:t>
      </w:r>
      <w:r w:rsidR="00003797">
        <w:rPr>
          <w:rFonts w:ascii="Arial" w:hAnsi="Arial" w:cs="Arial"/>
          <w:b/>
          <w:bCs/>
          <w:sz w:val="16"/>
          <w:szCs w:val="16"/>
        </w:rPr>
        <w:t>,</w:t>
      </w:r>
      <w:r w:rsidR="002358AF">
        <w:rPr>
          <w:rFonts w:ascii="Arial" w:hAnsi="Arial" w:cs="Arial"/>
          <w:b/>
          <w:bCs/>
          <w:sz w:val="16"/>
          <w:szCs w:val="16"/>
        </w:rPr>
        <w:t xml:space="preserve"> </w:t>
      </w:r>
      <w:r w:rsidR="0040100A">
        <w:rPr>
          <w:rFonts w:ascii="Arial" w:hAnsi="Arial" w:cs="Arial"/>
          <w:b/>
          <w:bCs/>
          <w:sz w:val="16"/>
          <w:szCs w:val="16"/>
        </w:rPr>
        <w:t>Noviembre</w:t>
      </w:r>
      <w:r w:rsidR="00424A9F">
        <w:rPr>
          <w:rFonts w:ascii="Arial" w:hAnsi="Arial" w:cs="Arial"/>
          <w:b/>
          <w:bCs/>
          <w:sz w:val="16"/>
          <w:szCs w:val="16"/>
        </w:rPr>
        <w:t xml:space="preserve"> 2025</w:t>
      </w:r>
    </w:p>
    <w:p w:rsidR="00424A9F" w:rsidRDefault="00424A9F" w:rsidP="00B17C03">
      <w:pPr>
        <w:suppressAutoHyphens/>
        <w:rPr>
          <w:rFonts w:ascii="Arial" w:hAnsi="Arial" w:cs="Arial"/>
          <w:b/>
          <w:bCs/>
          <w:sz w:val="16"/>
          <w:szCs w:val="16"/>
        </w:rPr>
      </w:pPr>
    </w:p>
    <w:sectPr w:rsidR="00424A9F" w:rsidSect="00560149">
      <w:headerReference w:type="even" r:id="rId8"/>
      <w:headerReference w:type="default" r:id="rId9"/>
      <w:footerReference w:type="even" r:id="rId10"/>
      <w:footerReference w:type="default" r:id="rId11"/>
      <w:headerReference w:type="first" r:id="rId12"/>
      <w:footerReference w:type="first" r:id="rId13"/>
      <w:pgSz w:w="12240" w:h="20160" w:code="5"/>
      <w:pgMar w:top="2127" w:right="1134" w:bottom="1701" w:left="2835" w:header="567" w:footer="567"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B31" w:rsidRDefault="001F6B31">
      <w:r>
        <w:separator/>
      </w:r>
    </w:p>
  </w:endnote>
  <w:endnote w:type="continuationSeparator" w:id="0">
    <w:p w:rsidR="001F6B31" w:rsidRDefault="001F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spacing w:before="140" w:line="100" w:lineRule="exact"/>
      <w:rPr>
        <w:sz w:val="10"/>
        <w:szCs w:val="10"/>
      </w:rPr>
    </w:pPr>
  </w:p>
  <w:p w:rsidR="001F6B31" w:rsidRDefault="001F6B31">
    <w:pPr>
      <w:tabs>
        <w:tab w:val="right" w:pos="9069"/>
      </w:tabs>
      <w:suppressAutoHyphens/>
      <w:spacing w:line="312" w:lineRule="atLeast"/>
      <w:jc w:val="both"/>
      <w:rPr>
        <w:u w:val="double"/>
        <w:lang w:val="es-ES_tradnl"/>
      </w:rPr>
    </w:pPr>
    <w:r>
      <w:rPr>
        <w:lang w:val="es-ES_tradn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B31" w:rsidRDefault="001F6B31">
      <w:r>
        <w:separator/>
      </w:r>
    </w:p>
  </w:footnote>
  <w:footnote w:type="continuationSeparator" w:id="0">
    <w:p w:rsidR="001F6B31" w:rsidRDefault="001F6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pStyle w:val="Encabezado"/>
      <w:tabs>
        <w:tab w:val="clear" w:pos="4419"/>
        <w:tab w:val="clear" w:pos="8838"/>
        <w:tab w:val="left" w:pos="-720"/>
      </w:tabs>
      <w:suppressAutoHyphens/>
      <w:rPr>
        <w:sz w:val="20"/>
      </w:rPr>
    </w:pPr>
    <w:r>
      <w:rPr>
        <w:noProof/>
        <w:sz w:val="20"/>
        <w:lang w:val="es-AR" w:eastAsia="es-AR"/>
      </w:rPr>
      <w:drawing>
        <wp:inline distT="0" distB="0" distL="0" distR="0" wp14:anchorId="33904D7D" wp14:editId="41F9943E">
          <wp:extent cx="3648075" cy="933450"/>
          <wp:effectExtent l="0" t="0" r="9525" b="0"/>
          <wp:docPr id="1" name="Imagen 1" descr="0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73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8075" cy="933450"/>
                  </a:xfrm>
                  <a:prstGeom prst="rect">
                    <a:avLst/>
                  </a:prstGeom>
                  <a:noFill/>
                  <a:ln>
                    <a:noFill/>
                  </a:ln>
                </pic:spPr>
              </pic:pic>
            </a:graphicData>
          </a:graphic>
        </wp:inline>
      </w:drawing>
    </w:r>
  </w:p>
  <w:p w:rsidR="001F6B31" w:rsidRDefault="001F6B31">
    <w:pPr>
      <w:pStyle w:val="Encabezado"/>
      <w:tabs>
        <w:tab w:val="clear" w:pos="4419"/>
        <w:tab w:val="clear" w:pos="8838"/>
        <w:tab w:val="left" w:pos="-720"/>
      </w:tabs>
      <w:suppressAutoHyphens/>
      <w:rPr>
        <w:sz w:val="20"/>
      </w:rPr>
    </w:pPr>
  </w:p>
  <w:p w:rsidR="001F6B31" w:rsidRDefault="001F6B31">
    <w:pPr>
      <w:pStyle w:val="Encabezado"/>
      <w:tabs>
        <w:tab w:val="clear" w:pos="4419"/>
        <w:tab w:val="clear" w:pos="8838"/>
        <w:tab w:val="left" w:pos="-720"/>
      </w:tabs>
      <w:suppressAutoHyphens/>
      <w:rPr>
        <w:sz w:val="20"/>
      </w:rPr>
    </w:pPr>
  </w:p>
  <w:p w:rsidR="001F6B31" w:rsidRDefault="001F6B31">
    <w:pPr>
      <w:pStyle w:val="Encabezado"/>
      <w:tabs>
        <w:tab w:val="clear" w:pos="4419"/>
        <w:tab w:val="clear" w:pos="8838"/>
        <w:tab w:val="left" w:pos="-720"/>
      </w:tabs>
      <w:suppressAutoHyphens/>
    </w:pPr>
  </w:p>
  <w:p w:rsidR="001F6B31" w:rsidRDefault="001F6B31">
    <w:pPr>
      <w:pStyle w:val="Encabezado"/>
      <w:tabs>
        <w:tab w:val="clear" w:pos="4419"/>
        <w:tab w:val="clear" w:pos="8838"/>
        <w:tab w:val="left" w:pos="-720"/>
      </w:tabs>
      <w:suppressAutoHyphens/>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B31" w:rsidRDefault="001F6B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2C798F"/>
    <w:multiLevelType w:val="hybridMultilevel"/>
    <w:tmpl w:val="8CEA7414"/>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es-MX" w:vendorID="64" w:dllVersion="131078"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rawingGridHorizontalSpacing w:val="237"/>
  <w:displayVerticalDrawingGridEvery w:val="2"/>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54A"/>
    <w:rsid w:val="000036F7"/>
    <w:rsid w:val="00003797"/>
    <w:rsid w:val="00007A1C"/>
    <w:rsid w:val="00057521"/>
    <w:rsid w:val="00086C76"/>
    <w:rsid w:val="00091DFF"/>
    <w:rsid w:val="000A454A"/>
    <w:rsid w:val="000C2961"/>
    <w:rsid w:val="000C6875"/>
    <w:rsid w:val="000D53A4"/>
    <w:rsid w:val="000E2FD1"/>
    <w:rsid w:val="000F0DA3"/>
    <w:rsid w:val="00115015"/>
    <w:rsid w:val="00131A13"/>
    <w:rsid w:val="001507E7"/>
    <w:rsid w:val="00157018"/>
    <w:rsid w:val="0016414E"/>
    <w:rsid w:val="001868A2"/>
    <w:rsid w:val="00196548"/>
    <w:rsid w:val="001D0551"/>
    <w:rsid w:val="001F277E"/>
    <w:rsid w:val="001F2F60"/>
    <w:rsid w:val="001F6B31"/>
    <w:rsid w:val="0020726D"/>
    <w:rsid w:val="00207F1C"/>
    <w:rsid w:val="002206F7"/>
    <w:rsid w:val="002353FD"/>
    <w:rsid w:val="00235655"/>
    <w:rsid w:val="002358AF"/>
    <w:rsid w:val="002640DB"/>
    <w:rsid w:val="00296DC3"/>
    <w:rsid w:val="002B1DF1"/>
    <w:rsid w:val="002C3FD3"/>
    <w:rsid w:val="002E0CA7"/>
    <w:rsid w:val="00300281"/>
    <w:rsid w:val="00303D4C"/>
    <w:rsid w:val="00305B59"/>
    <w:rsid w:val="0031434F"/>
    <w:rsid w:val="00315FB0"/>
    <w:rsid w:val="00322A99"/>
    <w:rsid w:val="0033431F"/>
    <w:rsid w:val="00362644"/>
    <w:rsid w:val="00371975"/>
    <w:rsid w:val="00374848"/>
    <w:rsid w:val="0038163B"/>
    <w:rsid w:val="003A6D3D"/>
    <w:rsid w:val="003A7C1A"/>
    <w:rsid w:val="003C38F6"/>
    <w:rsid w:val="003E5211"/>
    <w:rsid w:val="003F41E1"/>
    <w:rsid w:val="0040100A"/>
    <w:rsid w:val="00407A22"/>
    <w:rsid w:val="00412AC2"/>
    <w:rsid w:val="00422CD8"/>
    <w:rsid w:val="00424A9F"/>
    <w:rsid w:val="004449C4"/>
    <w:rsid w:val="00444E15"/>
    <w:rsid w:val="0044686D"/>
    <w:rsid w:val="0044794E"/>
    <w:rsid w:val="00461F83"/>
    <w:rsid w:val="00466355"/>
    <w:rsid w:val="00466644"/>
    <w:rsid w:val="00484BA1"/>
    <w:rsid w:val="004B096B"/>
    <w:rsid w:val="004B1801"/>
    <w:rsid w:val="004C43C6"/>
    <w:rsid w:val="005042FB"/>
    <w:rsid w:val="00510214"/>
    <w:rsid w:val="005131C3"/>
    <w:rsid w:val="00513DC0"/>
    <w:rsid w:val="0051571D"/>
    <w:rsid w:val="0054144F"/>
    <w:rsid w:val="00550B19"/>
    <w:rsid w:val="00560149"/>
    <w:rsid w:val="005661F2"/>
    <w:rsid w:val="005B6FBF"/>
    <w:rsid w:val="005D7C92"/>
    <w:rsid w:val="005F7762"/>
    <w:rsid w:val="00634C9D"/>
    <w:rsid w:val="00661EA1"/>
    <w:rsid w:val="00675A7D"/>
    <w:rsid w:val="00683C6E"/>
    <w:rsid w:val="00691CE3"/>
    <w:rsid w:val="0069256A"/>
    <w:rsid w:val="00696FEA"/>
    <w:rsid w:val="006A640D"/>
    <w:rsid w:val="006B3067"/>
    <w:rsid w:val="006D4D05"/>
    <w:rsid w:val="00703696"/>
    <w:rsid w:val="00703BFB"/>
    <w:rsid w:val="0071517C"/>
    <w:rsid w:val="00726C26"/>
    <w:rsid w:val="0074064F"/>
    <w:rsid w:val="007709CC"/>
    <w:rsid w:val="00777692"/>
    <w:rsid w:val="007A6D4A"/>
    <w:rsid w:val="007B44C1"/>
    <w:rsid w:val="007B610B"/>
    <w:rsid w:val="007F2460"/>
    <w:rsid w:val="007F62EE"/>
    <w:rsid w:val="0082694A"/>
    <w:rsid w:val="00831167"/>
    <w:rsid w:val="00834843"/>
    <w:rsid w:val="00860428"/>
    <w:rsid w:val="008B0506"/>
    <w:rsid w:val="008D6591"/>
    <w:rsid w:val="008F4E35"/>
    <w:rsid w:val="00912FDD"/>
    <w:rsid w:val="009141CC"/>
    <w:rsid w:val="00956935"/>
    <w:rsid w:val="0096416B"/>
    <w:rsid w:val="009905D2"/>
    <w:rsid w:val="009B5EEC"/>
    <w:rsid w:val="009C16AF"/>
    <w:rsid w:val="009C2FED"/>
    <w:rsid w:val="009D2163"/>
    <w:rsid w:val="009E200E"/>
    <w:rsid w:val="00A26398"/>
    <w:rsid w:val="00A3267F"/>
    <w:rsid w:val="00A33E89"/>
    <w:rsid w:val="00A609B2"/>
    <w:rsid w:val="00A64AD5"/>
    <w:rsid w:val="00A669FC"/>
    <w:rsid w:val="00A71B57"/>
    <w:rsid w:val="00A75F92"/>
    <w:rsid w:val="00A8293C"/>
    <w:rsid w:val="00AA42E5"/>
    <w:rsid w:val="00B17C03"/>
    <w:rsid w:val="00B35BEB"/>
    <w:rsid w:val="00B47877"/>
    <w:rsid w:val="00B54DEA"/>
    <w:rsid w:val="00B83F46"/>
    <w:rsid w:val="00B9047F"/>
    <w:rsid w:val="00BA13E2"/>
    <w:rsid w:val="00BB096E"/>
    <w:rsid w:val="00BC0194"/>
    <w:rsid w:val="00BC59BD"/>
    <w:rsid w:val="00BC6C0B"/>
    <w:rsid w:val="00BD01BF"/>
    <w:rsid w:val="00BD7950"/>
    <w:rsid w:val="00BE5037"/>
    <w:rsid w:val="00BF2E8B"/>
    <w:rsid w:val="00BF35ED"/>
    <w:rsid w:val="00C013AD"/>
    <w:rsid w:val="00C11AB9"/>
    <w:rsid w:val="00C12B39"/>
    <w:rsid w:val="00C40DCA"/>
    <w:rsid w:val="00C7188C"/>
    <w:rsid w:val="00C74F91"/>
    <w:rsid w:val="00C87F05"/>
    <w:rsid w:val="00CB1191"/>
    <w:rsid w:val="00CB19A9"/>
    <w:rsid w:val="00CB3266"/>
    <w:rsid w:val="00CC79E0"/>
    <w:rsid w:val="00CE7C91"/>
    <w:rsid w:val="00D0073D"/>
    <w:rsid w:val="00D06F06"/>
    <w:rsid w:val="00D374DE"/>
    <w:rsid w:val="00D4683B"/>
    <w:rsid w:val="00D87D59"/>
    <w:rsid w:val="00D95EDE"/>
    <w:rsid w:val="00DB5294"/>
    <w:rsid w:val="00DC1A35"/>
    <w:rsid w:val="00DD02AB"/>
    <w:rsid w:val="00DF3A9A"/>
    <w:rsid w:val="00E030D2"/>
    <w:rsid w:val="00E04673"/>
    <w:rsid w:val="00E13A6B"/>
    <w:rsid w:val="00E16D9D"/>
    <w:rsid w:val="00E20020"/>
    <w:rsid w:val="00E27643"/>
    <w:rsid w:val="00E57611"/>
    <w:rsid w:val="00E92620"/>
    <w:rsid w:val="00E94D82"/>
    <w:rsid w:val="00EC6200"/>
    <w:rsid w:val="00ED2B52"/>
    <w:rsid w:val="00ED307B"/>
    <w:rsid w:val="00EE3CFB"/>
    <w:rsid w:val="00F15979"/>
    <w:rsid w:val="00F15B54"/>
    <w:rsid w:val="00F15C14"/>
    <w:rsid w:val="00F258DC"/>
    <w:rsid w:val="00F27470"/>
    <w:rsid w:val="00F813C0"/>
    <w:rsid w:val="00F9306C"/>
    <w:rsid w:val="00FA09BA"/>
    <w:rsid w:val="00FA2DEB"/>
    <w:rsid w:val="00FC4CE0"/>
    <w:rsid w:val="00FF2AF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17C"/>
    <w:rPr>
      <w:sz w:val="24"/>
      <w:szCs w:val="24"/>
      <w:lang w:val="es-ES" w:eastAsia="es-ES"/>
    </w:rPr>
  </w:style>
  <w:style w:type="paragraph" w:styleId="Ttulo1">
    <w:name w:val="heading 1"/>
    <w:basedOn w:val="Normal"/>
    <w:next w:val="Normal"/>
    <w:qFormat/>
    <w:pPr>
      <w:keepNext/>
      <w:suppressAutoHyphens/>
      <w:spacing w:line="312" w:lineRule="atLeast"/>
      <w:outlineLvl w:val="0"/>
    </w:pPr>
    <w:rPr>
      <w:rFonts w:ascii="Courier" w:hAnsi="Courier"/>
      <w:b/>
      <w:b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styleId="Textodeglobo">
    <w:name w:val="Balloon Text"/>
    <w:basedOn w:val="Normal"/>
    <w:link w:val="TextodegloboCar"/>
    <w:uiPriority w:val="99"/>
    <w:semiHidden/>
    <w:unhideWhenUsed/>
    <w:rsid w:val="000A454A"/>
    <w:rPr>
      <w:rFonts w:ascii="Segoe UI" w:hAnsi="Segoe UI"/>
      <w:sz w:val="18"/>
      <w:szCs w:val="18"/>
    </w:rPr>
  </w:style>
  <w:style w:type="character" w:customStyle="1" w:styleId="TextodegloboCar">
    <w:name w:val="Texto de globo Car"/>
    <w:link w:val="Textodeglobo"/>
    <w:uiPriority w:val="99"/>
    <w:semiHidden/>
    <w:rsid w:val="000A454A"/>
    <w:rPr>
      <w:rFonts w:ascii="Segoe UI" w:hAnsi="Segoe UI" w:cs="Segoe UI"/>
      <w:bCs/>
      <w:spacing w:val="-3"/>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230</Words>
  <Characters>1270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Poder Judicial de Mendoza</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Liliana Turkieniez</cp:lastModifiedBy>
  <cp:revision>6</cp:revision>
  <cp:lastPrinted>2019-04-05T15:06:00Z</cp:lastPrinted>
  <dcterms:created xsi:type="dcterms:W3CDTF">2025-08-07T13:59:00Z</dcterms:created>
  <dcterms:modified xsi:type="dcterms:W3CDTF">2025-11-07T16:09:00Z</dcterms:modified>
</cp:coreProperties>
</file>