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01" w:rsidRDefault="00F17861" w:rsidP="00ED2D01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sz w:val="19"/>
          <w:szCs w:val="19"/>
          <w:lang w:val="es-AR" w:eastAsia="es-AR"/>
        </w:rPr>
      </w:pPr>
      <w:r>
        <w:rPr>
          <w:rFonts w:ascii="Verdana,Bold" w:hAnsi="Verdana,Bold" w:cs="Verdana,Bold"/>
          <w:b/>
          <w:bCs/>
          <w:sz w:val="19"/>
          <w:szCs w:val="19"/>
          <w:lang w:val="es-AR" w:eastAsia="es-AR"/>
        </w:rPr>
        <w:t>CUMPLIMIENTO DE METAS</w:t>
      </w:r>
    </w:p>
    <w:p w:rsidR="00ED2D01" w:rsidRDefault="00ED2D01" w:rsidP="00ED2D01">
      <w:pPr>
        <w:autoSpaceDE w:val="0"/>
        <w:autoSpaceDN w:val="0"/>
        <w:adjustRightInd w:val="0"/>
        <w:rPr>
          <w:rFonts w:ascii="Verdana,Bold" w:hAnsi="Verdana,Bold" w:cs="Verdana,Bold"/>
          <w:b/>
          <w:bCs/>
          <w:sz w:val="19"/>
          <w:szCs w:val="19"/>
          <w:lang w:val="es-AR" w:eastAsia="es-AR"/>
        </w:rPr>
      </w:pPr>
    </w:p>
    <w:p w:rsidR="00ED2D01" w:rsidRDefault="00ED2D01" w:rsidP="00ED2D01">
      <w:pPr>
        <w:autoSpaceDE w:val="0"/>
        <w:autoSpaceDN w:val="0"/>
        <w:adjustRightInd w:val="0"/>
        <w:rPr>
          <w:rFonts w:ascii="Verdana" w:hAnsi="Verdana" w:cs="Verdana"/>
          <w:sz w:val="19"/>
          <w:szCs w:val="19"/>
          <w:lang w:val="es-AR" w:eastAsia="es-AR"/>
        </w:rPr>
      </w:pPr>
      <w:r>
        <w:rPr>
          <w:rFonts w:ascii="Verdana" w:hAnsi="Verdana" w:cs="Verdana"/>
          <w:sz w:val="19"/>
          <w:szCs w:val="19"/>
          <w:lang w:val="es-AR" w:eastAsia="es-AR"/>
        </w:rPr>
        <w:t>Las diferencias en el cumplimiento de metas en Gastos Corrientes se deben a:</w:t>
      </w:r>
    </w:p>
    <w:p w:rsidR="00ED2D01" w:rsidRDefault="00ED2D01" w:rsidP="00ED2D01">
      <w:pPr>
        <w:autoSpaceDE w:val="0"/>
        <w:autoSpaceDN w:val="0"/>
        <w:adjustRightInd w:val="0"/>
        <w:rPr>
          <w:rFonts w:ascii="Verdana" w:hAnsi="Verdana" w:cs="Verdana"/>
          <w:sz w:val="19"/>
          <w:szCs w:val="19"/>
          <w:lang w:val="es-AR" w:eastAsia="es-AR"/>
        </w:rPr>
      </w:pPr>
    </w:p>
    <w:p w:rsidR="00AA5E7D" w:rsidRDefault="002625BB" w:rsidP="0055684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/>
        <w:rPr>
          <w:rFonts w:ascii="Verdana,Bold" w:hAnsi="Verdana,Bold" w:cs="Verdana,Bold"/>
          <w:bCs/>
          <w:sz w:val="19"/>
          <w:szCs w:val="19"/>
          <w:lang w:val="es-AR" w:eastAsia="es-AR"/>
        </w:rPr>
      </w:pPr>
      <w:r w:rsidRPr="000E5A8C">
        <w:rPr>
          <w:rFonts w:ascii="Verdana,Bold" w:hAnsi="Verdana,Bold" w:cs="Verdana,Bold"/>
          <w:b/>
          <w:bCs/>
          <w:sz w:val="19"/>
          <w:szCs w:val="19"/>
          <w:lang w:val="es-AR" w:eastAsia="es-AR"/>
        </w:rPr>
        <w:t xml:space="preserve">Bienes y Servicios Corrientes: </w:t>
      </w:r>
      <w:r w:rsidR="000E5A8C">
        <w:rPr>
          <w:rFonts w:ascii="Verdana,Bold" w:hAnsi="Verdana,Bold" w:cs="Verdana,Bold"/>
          <w:bCs/>
          <w:sz w:val="19"/>
          <w:szCs w:val="19"/>
          <w:lang w:val="es-AR" w:eastAsia="es-AR"/>
        </w:rPr>
        <w:t>Finalizado el trimestre lo ejecutado difiere de lo programado debido a que se ha ido utilizando el crédito en función de las necesidades de la oficina</w:t>
      </w:r>
      <w:r w:rsidR="00AA5E7D">
        <w:rPr>
          <w:rFonts w:ascii="Verdana,Bold" w:hAnsi="Verdana,Bold" w:cs="Verdana,Bold"/>
          <w:bCs/>
          <w:sz w:val="19"/>
          <w:szCs w:val="19"/>
          <w:lang w:val="es-AR" w:eastAsia="es-AR"/>
        </w:rPr>
        <w:t>, conforme al crédito votado y al ritmo del gasto impuesto. Ritmo que resultó en los dos primeros trimestres escaso y limitante.</w:t>
      </w:r>
    </w:p>
    <w:p w:rsidR="00556848" w:rsidRDefault="00AA5E7D" w:rsidP="00556848">
      <w:pPr>
        <w:autoSpaceDE w:val="0"/>
        <w:autoSpaceDN w:val="0"/>
        <w:adjustRightInd w:val="0"/>
        <w:spacing w:line="360" w:lineRule="auto"/>
        <w:ind w:left="709"/>
        <w:rPr>
          <w:rFonts w:ascii="Verdana,Bold" w:hAnsi="Verdana,Bold" w:cs="Verdana,Bold"/>
          <w:bCs/>
          <w:sz w:val="19"/>
          <w:szCs w:val="19"/>
          <w:lang w:val="es-AR" w:eastAsia="es-AR"/>
        </w:rPr>
      </w:pPr>
      <w:r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Por lo tanto durante el transcurso del segundo trimestre 2025 se solicitó un refuerzo de la partida 41301, </w:t>
      </w:r>
      <w:r w:rsidR="00556848">
        <w:rPr>
          <w:rFonts w:ascii="Verdana,Bold" w:hAnsi="Verdana,Bold" w:cs="Verdana,Bold"/>
          <w:bCs/>
          <w:sz w:val="19"/>
          <w:szCs w:val="19"/>
          <w:lang w:val="es-AR" w:eastAsia="es-AR"/>
        </w:rPr>
        <w:t>que permitió cubrir las necesidades de Locaciones de Servicios, finalizando el 3º trimestre con una ejecución presupuestaria mayor a la programada.</w:t>
      </w:r>
    </w:p>
    <w:p w:rsidR="00556848" w:rsidRDefault="00556848" w:rsidP="00556848">
      <w:pPr>
        <w:autoSpaceDE w:val="0"/>
        <w:autoSpaceDN w:val="0"/>
        <w:adjustRightInd w:val="0"/>
        <w:ind w:left="709"/>
        <w:rPr>
          <w:rFonts w:ascii="Verdana,Bold" w:hAnsi="Verdana,Bold" w:cs="Verdana,Bold"/>
          <w:bCs/>
          <w:sz w:val="19"/>
          <w:szCs w:val="19"/>
          <w:lang w:val="es-AR" w:eastAsia="es-AR"/>
        </w:rPr>
      </w:pPr>
    </w:p>
    <w:p w:rsidR="009629D6" w:rsidRDefault="004D31B2" w:rsidP="00556848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/>
        <w:rPr>
          <w:rFonts w:ascii="Verdana,Bold" w:hAnsi="Verdana,Bold" w:cs="Verdana,Bold"/>
          <w:bCs/>
          <w:sz w:val="19"/>
          <w:szCs w:val="19"/>
          <w:lang w:val="es-AR" w:eastAsia="es-AR"/>
        </w:rPr>
      </w:pPr>
      <w:r w:rsidRPr="00217279">
        <w:rPr>
          <w:rFonts w:ascii="Verdana,Bold" w:hAnsi="Verdana,Bold" w:cs="Verdana,Bold"/>
          <w:b/>
          <w:bCs/>
          <w:sz w:val="19"/>
          <w:szCs w:val="19"/>
          <w:lang w:val="es-AR" w:eastAsia="es-AR"/>
        </w:rPr>
        <w:t>Gastos de Capital</w:t>
      </w:r>
      <w:r w:rsidRPr="00416522">
        <w:rPr>
          <w:rFonts w:ascii="Verdana,Bold" w:hAnsi="Verdana,Bold" w:cs="Verdana,Bold"/>
          <w:bCs/>
          <w:sz w:val="19"/>
          <w:szCs w:val="19"/>
          <w:lang w:val="es-AR" w:eastAsia="es-AR"/>
        </w:rPr>
        <w:t>:</w:t>
      </w:r>
      <w:r w:rsidR="00AA5E7D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 No existe </w:t>
      </w:r>
      <w:r w:rsidR="009629D6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variación entre lo programado y lo ejecutado; </w:t>
      </w:r>
      <w:r w:rsidR="00AA5E7D">
        <w:rPr>
          <w:rFonts w:ascii="Verdana,Bold" w:hAnsi="Verdana,Bold" w:cs="Verdana,Bold"/>
          <w:bCs/>
          <w:sz w:val="19"/>
          <w:szCs w:val="19"/>
          <w:lang w:val="es-AR" w:eastAsia="es-AR"/>
        </w:rPr>
        <w:t>ya que no se han realizado gastos</w:t>
      </w:r>
      <w:r w:rsidR="00556848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 de capital</w:t>
      </w:r>
      <w:r w:rsidR="00AA5E7D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 durante el año 2025 por no contar con Crédito Presupuestario </w:t>
      </w:r>
      <w:r w:rsidR="00556848">
        <w:rPr>
          <w:rFonts w:ascii="Verdana,Bold" w:hAnsi="Verdana,Bold" w:cs="Verdana,Bold"/>
          <w:bCs/>
          <w:sz w:val="19"/>
          <w:szCs w:val="19"/>
          <w:lang w:val="es-AR" w:eastAsia="es-AR"/>
        </w:rPr>
        <w:t>votado. P</w:t>
      </w:r>
      <w:r w:rsidR="00AA5E7D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or lo tanto </w:t>
      </w:r>
      <w:r w:rsidR="00556848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tampoco </w:t>
      </w:r>
      <w:r w:rsidR="00AA5E7D">
        <w:rPr>
          <w:rFonts w:ascii="Verdana,Bold" w:hAnsi="Verdana,Bold" w:cs="Verdana,Bold"/>
          <w:bCs/>
          <w:sz w:val="19"/>
          <w:szCs w:val="19"/>
          <w:lang w:val="es-AR" w:eastAsia="es-AR"/>
        </w:rPr>
        <w:t>hubo programación con respecto a la misma</w:t>
      </w:r>
      <w:r w:rsidR="00556848">
        <w:rPr>
          <w:rFonts w:ascii="Verdana,Bold" w:hAnsi="Verdana,Bold" w:cs="Verdana,Bold"/>
          <w:bCs/>
          <w:sz w:val="19"/>
          <w:szCs w:val="19"/>
          <w:lang w:val="es-AR" w:eastAsia="es-AR"/>
        </w:rPr>
        <w:t xml:space="preserve"> partida.</w:t>
      </w:r>
      <w:bookmarkStart w:id="0" w:name="_GoBack"/>
      <w:bookmarkEnd w:id="0"/>
      <w:r w:rsidR="002F3249">
        <w:rPr>
          <w:rFonts w:ascii="Verdana,Bold" w:hAnsi="Verdana,Bold" w:cs="Verdana,Bold"/>
          <w:bCs/>
          <w:sz w:val="19"/>
          <w:szCs w:val="19"/>
          <w:lang w:val="es-AR" w:eastAsia="es-AR"/>
        </w:rPr>
        <w:t>.</w:t>
      </w:r>
    </w:p>
    <w:p w:rsidR="002F3249" w:rsidRDefault="002F3249" w:rsidP="00556848">
      <w:pPr>
        <w:autoSpaceDE w:val="0"/>
        <w:autoSpaceDN w:val="0"/>
        <w:adjustRightInd w:val="0"/>
        <w:spacing w:line="360" w:lineRule="auto"/>
        <w:rPr>
          <w:rFonts w:ascii="Verdana,Bold" w:hAnsi="Verdana,Bold" w:cs="Verdana,Bold"/>
          <w:bCs/>
          <w:sz w:val="19"/>
          <w:szCs w:val="19"/>
          <w:lang w:val="es-AR" w:eastAsia="es-AR"/>
        </w:rPr>
      </w:pPr>
    </w:p>
    <w:p w:rsidR="009629D6" w:rsidRDefault="009629D6" w:rsidP="009629D6">
      <w:pPr>
        <w:pStyle w:val="Prrafodelista"/>
        <w:rPr>
          <w:rFonts w:ascii="Verdana,Bold" w:hAnsi="Verdana,Bold" w:cs="Verdana,Bold"/>
          <w:bCs/>
          <w:sz w:val="19"/>
          <w:szCs w:val="19"/>
          <w:lang w:val="es-AR" w:eastAsia="es-AR"/>
        </w:rPr>
      </w:pPr>
    </w:p>
    <w:p w:rsidR="002F3249" w:rsidRDefault="002F3249" w:rsidP="009629D6">
      <w:pPr>
        <w:pStyle w:val="Prrafodelista"/>
        <w:rPr>
          <w:rFonts w:ascii="Verdana,Bold" w:hAnsi="Verdana,Bold" w:cs="Verdana,Bold"/>
          <w:bCs/>
          <w:sz w:val="19"/>
          <w:szCs w:val="19"/>
          <w:lang w:val="es-AR" w:eastAsia="es-AR"/>
        </w:rPr>
      </w:pPr>
    </w:p>
    <w:p w:rsidR="00AA1469" w:rsidRDefault="00AA1469">
      <w:pPr>
        <w:pStyle w:val="Encabezado"/>
        <w:tabs>
          <w:tab w:val="clear" w:pos="4419"/>
          <w:tab w:val="clear" w:pos="8838"/>
        </w:tabs>
        <w:rPr>
          <w:b/>
          <w:sz w:val="16"/>
          <w:szCs w:val="16"/>
          <w:lang w:val="es-ES_tradnl"/>
        </w:rPr>
      </w:pPr>
    </w:p>
    <w:p w:rsidR="00AA1469" w:rsidRDefault="00AA1469">
      <w:pPr>
        <w:pStyle w:val="Encabezado"/>
        <w:tabs>
          <w:tab w:val="clear" w:pos="4419"/>
          <w:tab w:val="clear" w:pos="8838"/>
        </w:tabs>
        <w:rPr>
          <w:b/>
          <w:sz w:val="16"/>
          <w:szCs w:val="16"/>
          <w:lang w:val="es-ES_tradnl"/>
        </w:rPr>
      </w:pPr>
    </w:p>
    <w:p w:rsidR="00AA1469" w:rsidRDefault="00AA1469" w:rsidP="00AA1469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</w:p>
    <w:p w:rsidR="00AA1469" w:rsidRDefault="002625BB" w:rsidP="00AA1469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 xml:space="preserve"> </w:t>
      </w:r>
      <w:r w:rsidR="00AA1469">
        <w:rPr>
          <w:sz w:val="16"/>
          <w:szCs w:val="16"/>
          <w:lang w:val="es-ES_tradnl"/>
        </w:rPr>
        <w:t xml:space="preserve">Marcela Abate                                                                 </w:t>
      </w:r>
      <w:r w:rsidR="00AA1469" w:rsidRPr="00BE05B9">
        <w:rPr>
          <w:sz w:val="16"/>
          <w:szCs w:val="16"/>
          <w:lang w:val="es-ES_tradnl"/>
        </w:rPr>
        <w:t xml:space="preserve">Claudia </w:t>
      </w:r>
      <w:proofErr w:type="spellStart"/>
      <w:r w:rsidR="00AA1469" w:rsidRPr="00BE05B9">
        <w:rPr>
          <w:sz w:val="16"/>
          <w:szCs w:val="16"/>
          <w:lang w:val="es-ES_tradnl"/>
        </w:rPr>
        <w:t>Palavecino</w:t>
      </w:r>
      <w:proofErr w:type="spellEnd"/>
      <w:r w:rsidR="00AA1469">
        <w:rPr>
          <w:sz w:val="16"/>
          <w:szCs w:val="16"/>
          <w:lang w:val="es-ES_tradnl"/>
        </w:rPr>
        <w:t xml:space="preserve">                                                         Gabriel </w:t>
      </w:r>
      <w:proofErr w:type="spellStart"/>
      <w:r w:rsidR="00AA1469">
        <w:rPr>
          <w:sz w:val="16"/>
          <w:szCs w:val="16"/>
          <w:lang w:val="es-ES_tradnl"/>
        </w:rPr>
        <w:t>Balsells</w:t>
      </w:r>
      <w:proofErr w:type="spellEnd"/>
      <w:r w:rsidR="00AA1469">
        <w:rPr>
          <w:sz w:val="16"/>
          <w:szCs w:val="16"/>
          <w:lang w:val="es-ES_tradnl"/>
        </w:rPr>
        <w:t xml:space="preserve"> Miró</w:t>
      </w:r>
    </w:p>
    <w:p w:rsidR="00AA1469" w:rsidRPr="00BE05B9" w:rsidRDefault="00AA1469" w:rsidP="00AA1469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 xml:space="preserve">     Contadora                                                                        </w:t>
      </w:r>
      <w:r w:rsidRPr="00BE05B9">
        <w:rPr>
          <w:sz w:val="16"/>
          <w:szCs w:val="16"/>
          <w:lang w:val="es-ES_tradnl"/>
        </w:rPr>
        <w:t>Jefa Contable</w:t>
      </w:r>
      <w:r>
        <w:rPr>
          <w:sz w:val="16"/>
          <w:szCs w:val="16"/>
          <w:lang w:val="es-ES_tradnl"/>
        </w:rPr>
        <w:t xml:space="preserve">                                                                 Auditor General</w:t>
      </w:r>
    </w:p>
    <w:p w:rsidR="00AA1469" w:rsidRPr="00BE05B9" w:rsidRDefault="00AA1469" w:rsidP="00AA1469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  <w:r>
        <w:rPr>
          <w:sz w:val="16"/>
          <w:szCs w:val="16"/>
          <w:lang w:val="es-ES_tradnl"/>
        </w:rPr>
        <w:t xml:space="preserve">      OIAYEP                                                                            </w:t>
      </w:r>
      <w:proofErr w:type="spellStart"/>
      <w:r w:rsidRPr="00BE05B9">
        <w:rPr>
          <w:sz w:val="16"/>
          <w:szCs w:val="16"/>
          <w:lang w:val="es-ES_tradnl"/>
        </w:rPr>
        <w:t>OIAYEP</w:t>
      </w:r>
      <w:proofErr w:type="spellEnd"/>
      <w:r>
        <w:rPr>
          <w:sz w:val="16"/>
          <w:szCs w:val="16"/>
          <w:lang w:val="es-ES_tradnl"/>
        </w:rPr>
        <w:t xml:space="preserve">                                                                            </w:t>
      </w:r>
      <w:proofErr w:type="spellStart"/>
      <w:r>
        <w:rPr>
          <w:sz w:val="16"/>
          <w:szCs w:val="16"/>
          <w:lang w:val="es-ES_tradnl"/>
        </w:rPr>
        <w:t>OIAYEP</w:t>
      </w:r>
      <w:proofErr w:type="spellEnd"/>
    </w:p>
    <w:p w:rsidR="00AA1469" w:rsidRPr="00ED2D01" w:rsidRDefault="00AA1469">
      <w:pPr>
        <w:pStyle w:val="Encabezado"/>
        <w:tabs>
          <w:tab w:val="clear" w:pos="4419"/>
          <w:tab w:val="clear" w:pos="8838"/>
        </w:tabs>
        <w:rPr>
          <w:b/>
          <w:sz w:val="16"/>
          <w:szCs w:val="16"/>
          <w:lang w:val="es-ES_tradnl"/>
        </w:rPr>
      </w:pPr>
    </w:p>
    <w:p w:rsidR="009E0F93" w:rsidRPr="00ED2D01" w:rsidRDefault="009E0F93">
      <w:pPr>
        <w:pStyle w:val="Encabezado"/>
        <w:tabs>
          <w:tab w:val="clear" w:pos="4419"/>
          <w:tab w:val="clear" w:pos="8838"/>
        </w:tabs>
        <w:rPr>
          <w:b/>
          <w:sz w:val="16"/>
          <w:szCs w:val="16"/>
          <w:lang w:val="es-ES_tradnl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sz w:val="16"/>
          <w:szCs w:val="16"/>
          <w:lang w:val="es-ES_tradnl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  <w:rPr>
          <w:rFonts w:ascii="Arial" w:hAnsi="Arial" w:cs="Arial"/>
          <w:sz w:val="16"/>
          <w:szCs w:val="16"/>
        </w:rPr>
      </w:pPr>
    </w:p>
    <w:p w:rsidR="009E0F93" w:rsidRDefault="009E0F93">
      <w:pPr>
        <w:pStyle w:val="Encabezado"/>
        <w:tabs>
          <w:tab w:val="clear" w:pos="4419"/>
          <w:tab w:val="clear" w:pos="8838"/>
        </w:tabs>
      </w:pPr>
      <w:r>
        <w:rPr>
          <w:rFonts w:ascii="Arial" w:hAnsi="Arial" w:cs="Arial"/>
          <w:sz w:val="16"/>
          <w:szCs w:val="16"/>
        </w:rPr>
        <w:tab/>
      </w:r>
    </w:p>
    <w:p w:rsidR="009E0F93" w:rsidRDefault="009E0F93">
      <w:pPr>
        <w:pStyle w:val="Encabezado"/>
        <w:tabs>
          <w:tab w:val="clear" w:pos="4419"/>
          <w:tab w:val="clear" w:pos="8838"/>
        </w:tabs>
      </w:pPr>
    </w:p>
    <w:sectPr w:rsidR="009E0F93" w:rsidSect="00DC6F5E">
      <w:headerReference w:type="default" r:id="rId8"/>
      <w:footerReference w:type="default" r:id="rId9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BD6" w:rsidRDefault="00FE1BD6" w:rsidP="009E0F93">
      <w:r>
        <w:separator/>
      </w:r>
    </w:p>
  </w:endnote>
  <w:endnote w:type="continuationSeparator" w:id="0">
    <w:p w:rsidR="00FE1BD6" w:rsidRDefault="00FE1BD6" w:rsidP="009E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F07" w:rsidRDefault="00DF3F07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>
      <w:rPr>
        <w:rFonts w:ascii="Arial" w:hAnsi="Arial" w:cs="Arial"/>
        <w:sz w:val="20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836E94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>
      <w:rPr>
        <w:rFonts w:ascii="Arial" w:hAnsi="Arial" w:cs="Arial"/>
        <w:sz w:val="16"/>
      </w:rPr>
      <w:fldChar w:fldCharType="separate"/>
    </w:r>
    <w:r w:rsidR="00836E94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  <w:p w:rsidR="00DF3F07" w:rsidRDefault="00DF3F0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BD6" w:rsidRDefault="00FE1BD6" w:rsidP="009E0F93">
      <w:r>
        <w:separator/>
      </w:r>
    </w:p>
  </w:footnote>
  <w:footnote w:type="continuationSeparator" w:id="0">
    <w:p w:rsidR="00FE1BD6" w:rsidRDefault="00FE1BD6" w:rsidP="009E0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F07" w:rsidRDefault="00DF3F07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>de la Provincia de Mendoza</w:t>
    </w:r>
    <w:r>
      <w:rPr>
        <w:sz w:val="22"/>
      </w:rPr>
      <w:t xml:space="preserve"> </w:t>
    </w:r>
  </w:p>
  <w:p w:rsidR="00DF3F07" w:rsidRDefault="00DF3F07">
    <w:pPr>
      <w:pStyle w:val="Subttulo"/>
      <w:rPr>
        <w:sz w:val="22"/>
      </w:rPr>
    </w:pPr>
  </w:p>
  <w:p w:rsidR="00DF3F07" w:rsidRDefault="00DF3F07">
    <w:pPr>
      <w:pStyle w:val="Subttulo"/>
      <w:rPr>
        <w:sz w:val="22"/>
        <w:szCs w:val="16"/>
      </w:rPr>
    </w:pPr>
    <w:r>
      <w:rPr>
        <w:sz w:val="22"/>
      </w:rPr>
      <w:t>ANEXO 30: INFORMES ESCRITOS</w:t>
    </w:r>
  </w:p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7"/>
      <w:gridCol w:w="1264"/>
      <w:gridCol w:w="301"/>
      <w:gridCol w:w="301"/>
      <w:gridCol w:w="301"/>
      <w:gridCol w:w="301"/>
    </w:tblGrid>
    <w:tr w:rsidR="00DF3F07" w:rsidTr="00BF1E6C">
      <w:trPr>
        <w:cantSplit/>
        <w:jc w:val="center"/>
      </w:trPr>
      <w:tc>
        <w:tcPr>
          <w:tcW w:w="5000" w:type="pct"/>
          <w:gridSpan w:val="6"/>
          <w:vAlign w:val="center"/>
        </w:tcPr>
        <w:p w:rsidR="00DF3F07" w:rsidRDefault="00DF3F07" w:rsidP="00BE05B9">
          <w:pPr>
            <w:pStyle w:val="Encabezado"/>
            <w:tabs>
              <w:tab w:val="clear" w:pos="4419"/>
              <w:tab w:val="clear" w:pos="8838"/>
              <w:tab w:val="left" w:pos="2625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</w:t>
          </w:r>
          <w:r w:rsidRPr="00BE05B9">
            <w:rPr>
              <w:rFonts w:ascii="Arial" w:hAnsi="Arial" w:cs="Arial"/>
              <w:b/>
              <w:sz w:val="18"/>
              <w:szCs w:val="18"/>
            </w:rPr>
            <w:t>OFICINA DE INVESTIGACIONES ADMINISTRATIVAS Y ETICA PUBLICA</w:t>
          </w:r>
        </w:p>
      </w:tc>
    </w:tr>
    <w:tr w:rsidR="00DF3F07" w:rsidTr="00BF1E6C">
      <w:trPr>
        <w:cantSplit/>
        <w:trHeight w:val="166"/>
        <w:jc w:val="center"/>
      </w:trPr>
      <w:tc>
        <w:tcPr>
          <w:tcW w:w="5000" w:type="pct"/>
          <w:gridSpan w:val="6"/>
          <w:vAlign w:val="center"/>
        </w:tcPr>
        <w:p w:rsidR="00DF3F07" w:rsidRDefault="00DF3F07" w:rsidP="00BE05B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NOMENCLADOR: </w:t>
          </w:r>
          <w:r w:rsidRPr="00BE05B9">
            <w:rPr>
              <w:rFonts w:ascii="Arial" w:hAnsi="Arial" w:cs="Arial"/>
              <w:b/>
              <w:sz w:val="18"/>
              <w:szCs w:val="18"/>
            </w:rPr>
            <w:t>010104</w:t>
          </w:r>
        </w:p>
      </w:tc>
    </w:tr>
    <w:tr w:rsidR="00DF3F07" w:rsidTr="00BF1E6C">
      <w:trPr>
        <w:cantSplit/>
        <w:jc w:val="center"/>
      </w:trPr>
      <w:tc>
        <w:tcPr>
          <w:tcW w:w="3548" w:type="pct"/>
          <w:vMerge w:val="restar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EJERCICIO: </w:t>
          </w:r>
          <w:r w:rsidR="009629D6">
            <w:rPr>
              <w:rFonts w:ascii="Arial" w:hAnsi="Arial" w:cs="Arial"/>
              <w:b/>
              <w:sz w:val="18"/>
              <w:szCs w:val="18"/>
            </w:rPr>
            <w:t>2025</w:t>
          </w:r>
        </w:p>
      </w:tc>
      <w:tc>
        <w:tcPr>
          <w:tcW w:w="744" w:type="pct"/>
          <w:vMerge w:val="restar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DF3F07" w:rsidRDefault="00DF3F07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BF1E6C" w:rsidTr="00BF1E6C">
      <w:trPr>
        <w:cantSplit/>
        <w:trHeight w:val="326"/>
        <w:jc w:val="center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BF1E6C" w:rsidRDefault="00BF1E6C" w:rsidP="00BF1E6C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BF1E6C" w:rsidRDefault="00BF1E6C" w:rsidP="00BF1E6C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BF1E6C" w:rsidRPr="00BE05B9" w:rsidRDefault="00BF1E6C" w:rsidP="00BF1E6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177" w:type="pct"/>
          <w:vAlign w:val="center"/>
        </w:tcPr>
        <w:p w:rsidR="00BF1E6C" w:rsidRPr="000E5A8C" w:rsidRDefault="00BF1E6C" w:rsidP="00BF1E6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77" w:type="pct"/>
        </w:tcPr>
        <w:p w:rsidR="00BF1E6C" w:rsidRPr="00C421FB" w:rsidRDefault="00AA5E7D" w:rsidP="00252E72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X</w:t>
          </w:r>
        </w:p>
      </w:tc>
      <w:tc>
        <w:tcPr>
          <w:tcW w:w="177" w:type="pct"/>
        </w:tcPr>
        <w:p w:rsidR="00BF1E6C" w:rsidRPr="00C421FB" w:rsidRDefault="00BF1E6C" w:rsidP="00BF1E6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DF3F07" w:rsidTr="00BF1E6C">
      <w:trPr>
        <w:cantSplit/>
        <w:trHeight w:val="354"/>
        <w:jc w:val="center"/>
      </w:trPr>
      <w:tc>
        <w:tcPr>
          <w:tcW w:w="5000" w:type="pct"/>
          <w:gridSpan w:val="6"/>
          <w:vAlign w:val="center"/>
        </w:tcPr>
        <w:p w:rsidR="00DF3F07" w:rsidRDefault="00DF3F07" w:rsidP="0060296F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REFERENCIA: </w:t>
          </w:r>
          <w:r>
            <w:rPr>
              <w:rFonts w:ascii="Arial" w:hAnsi="Arial" w:cs="Arial"/>
              <w:b/>
              <w:sz w:val="18"/>
              <w:szCs w:val="18"/>
            </w:rPr>
            <w:t>Art. 5 c)</w:t>
          </w:r>
        </w:p>
      </w:tc>
    </w:tr>
  </w:tbl>
  <w:p w:rsidR="00DF3F07" w:rsidRDefault="00DF3F07">
    <w:pPr>
      <w:pStyle w:val="Encabezado"/>
      <w:rPr>
        <w:rFonts w:ascii="Arial" w:hAnsi="Arial" w:cs="Arial"/>
      </w:rPr>
    </w:pPr>
  </w:p>
  <w:p w:rsidR="00DF3F07" w:rsidRDefault="00DF3F07">
    <w:pPr>
      <w:pStyle w:val="Encabezad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B0680"/>
    <w:multiLevelType w:val="hybridMultilevel"/>
    <w:tmpl w:val="05FE436C"/>
    <w:lvl w:ilvl="0" w:tplc="2C0A0017">
      <w:start w:val="1"/>
      <w:numFmt w:val="lowerLetter"/>
      <w:lvlText w:val="%1)"/>
      <w:lvlJc w:val="left"/>
      <w:pPr>
        <w:ind w:left="851" w:hanging="360"/>
      </w:pPr>
    </w:lvl>
    <w:lvl w:ilvl="1" w:tplc="2C0A0019" w:tentative="1">
      <w:start w:val="1"/>
      <w:numFmt w:val="lowerLetter"/>
      <w:lvlText w:val="%2."/>
      <w:lvlJc w:val="left"/>
      <w:pPr>
        <w:ind w:left="1571" w:hanging="360"/>
      </w:pPr>
    </w:lvl>
    <w:lvl w:ilvl="2" w:tplc="2C0A001B" w:tentative="1">
      <w:start w:val="1"/>
      <w:numFmt w:val="lowerRoman"/>
      <w:lvlText w:val="%3."/>
      <w:lvlJc w:val="right"/>
      <w:pPr>
        <w:ind w:left="2291" w:hanging="180"/>
      </w:pPr>
    </w:lvl>
    <w:lvl w:ilvl="3" w:tplc="2C0A000F" w:tentative="1">
      <w:start w:val="1"/>
      <w:numFmt w:val="decimal"/>
      <w:lvlText w:val="%4."/>
      <w:lvlJc w:val="left"/>
      <w:pPr>
        <w:ind w:left="3011" w:hanging="360"/>
      </w:pPr>
    </w:lvl>
    <w:lvl w:ilvl="4" w:tplc="2C0A0019" w:tentative="1">
      <w:start w:val="1"/>
      <w:numFmt w:val="lowerLetter"/>
      <w:lvlText w:val="%5."/>
      <w:lvlJc w:val="left"/>
      <w:pPr>
        <w:ind w:left="3731" w:hanging="360"/>
      </w:pPr>
    </w:lvl>
    <w:lvl w:ilvl="5" w:tplc="2C0A001B" w:tentative="1">
      <w:start w:val="1"/>
      <w:numFmt w:val="lowerRoman"/>
      <w:lvlText w:val="%6."/>
      <w:lvlJc w:val="right"/>
      <w:pPr>
        <w:ind w:left="4451" w:hanging="180"/>
      </w:pPr>
    </w:lvl>
    <w:lvl w:ilvl="6" w:tplc="2C0A000F" w:tentative="1">
      <w:start w:val="1"/>
      <w:numFmt w:val="decimal"/>
      <w:lvlText w:val="%7."/>
      <w:lvlJc w:val="left"/>
      <w:pPr>
        <w:ind w:left="5171" w:hanging="360"/>
      </w:pPr>
    </w:lvl>
    <w:lvl w:ilvl="7" w:tplc="2C0A0019" w:tentative="1">
      <w:start w:val="1"/>
      <w:numFmt w:val="lowerLetter"/>
      <w:lvlText w:val="%8."/>
      <w:lvlJc w:val="left"/>
      <w:pPr>
        <w:ind w:left="5891" w:hanging="360"/>
      </w:pPr>
    </w:lvl>
    <w:lvl w:ilvl="8" w:tplc="2C0A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4D3401A2"/>
    <w:multiLevelType w:val="hybridMultilevel"/>
    <w:tmpl w:val="BEF2BFE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D26B4"/>
    <w:multiLevelType w:val="hybridMultilevel"/>
    <w:tmpl w:val="24EE14F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94903"/>
    <w:multiLevelType w:val="hybridMultilevel"/>
    <w:tmpl w:val="8A3C86D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C385D"/>
    <w:multiLevelType w:val="hybridMultilevel"/>
    <w:tmpl w:val="8E585026"/>
    <w:lvl w:ilvl="0" w:tplc="2054913E">
      <w:start w:val="1"/>
      <w:numFmt w:val="lowerLetter"/>
      <w:lvlText w:val="%1)"/>
      <w:lvlJc w:val="left"/>
      <w:pPr>
        <w:ind w:left="491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211" w:hanging="360"/>
      </w:pPr>
    </w:lvl>
    <w:lvl w:ilvl="2" w:tplc="2C0A001B" w:tentative="1">
      <w:start w:val="1"/>
      <w:numFmt w:val="lowerRoman"/>
      <w:lvlText w:val="%3."/>
      <w:lvlJc w:val="right"/>
      <w:pPr>
        <w:ind w:left="1931" w:hanging="180"/>
      </w:pPr>
    </w:lvl>
    <w:lvl w:ilvl="3" w:tplc="2C0A000F" w:tentative="1">
      <w:start w:val="1"/>
      <w:numFmt w:val="decimal"/>
      <w:lvlText w:val="%4."/>
      <w:lvlJc w:val="left"/>
      <w:pPr>
        <w:ind w:left="2651" w:hanging="360"/>
      </w:pPr>
    </w:lvl>
    <w:lvl w:ilvl="4" w:tplc="2C0A0019" w:tentative="1">
      <w:start w:val="1"/>
      <w:numFmt w:val="lowerLetter"/>
      <w:lvlText w:val="%5."/>
      <w:lvlJc w:val="left"/>
      <w:pPr>
        <w:ind w:left="3371" w:hanging="360"/>
      </w:pPr>
    </w:lvl>
    <w:lvl w:ilvl="5" w:tplc="2C0A001B" w:tentative="1">
      <w:start w:val="1"/>
      <w:numFmt w:val="lowerRoman"/>
      <w:lvlText w:val="%6."/>
      <w:lvlJc w:val="right"/>
      <w:pPr>
        <w:ind w:left="4091" w:hanging="180"/>
      </w:pPr>
    </w:lvl>
    <w:lvl w:ilvl="6" w:tplc="2C0A000F" w:tentative="1">
      <w:start w:val="1"/>
      <w:numFmt w:val="decimal"/>
      <w:lvlText w:val="%7."/>
      <w:lvlJc w:val="left"/>
      <w:pPr>
        <w:ind w:left="4811" w:hanging="360"/>
      </w:pPr>
    </w:lvl>
    <w:lvl w:ilvl="7" w:tplc="2C0A0019" w:tentative="1">
      <w:start w:val="1"/>
      <w:numFmt w:val="lowerLetter"/>
      <w:lvlText w:val="%8."/>
      <w:lvlJc w:val="left"/>
      <w:pPr>
        <w:ind w:left="5531" w:hanging="360"/>
      </w:pPr>
    </w:lvl>
    <w:lvl w:ilvl="8" w:tplc="2C0A001B" w:tentative="1">
      <w:start w:val="1"/>
      <w:numFmt w:val="lowerRoman"/>
      <w:lvlText w:val="%9."/>
      <w:lvlJc w:val="right"/>
      <w:pPr>
        <w:ind w:left="6251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B9"/>
    <w:rsid w:val="00044378"/>
    <w:rsid w:val="000628FB"/>
    <w:rsid w:val="000748B8"/>
    <w:rsid w:val="000E5A8C"/>
    <w:rsid w:val="000F215A"/>
    <w:rsid w:val="000F2EE7"/>
    <w:rsid w:val="00155A5B"/>
    <w:rsid w:val="001A33FB"/>
    <w:rsid w:val="002128B3"/>
    <w:rsid w:val="00217279"/>
    <w:rsid w:val="00252E72"/>
    <w:rsid w:val="002625BB"/>
    <w:rsid w:val="00265FEF"/>
    <w:rsid w:val="002F3249"/>
    <w:rsid w:val="00300A28"/>
    <w:rsid w:val="0030206F"/>
    <w:rsid w:val="003157A8"/>
    <w:rsid w:val="00323325"/>
    <w:rsid w:val="003B67D2"/>
    <w:rsid w:val="00416522"/>
    <w:rsid w:val="00494B63"/>
    <w:rsid w:val="004C37F4"/>
    <w:rsid w:val="004D31B2"/>
    <w:rsid w:val="00556848"/>
    <w:rsid w:val="00566A55"/>
    <w:rsid w:val="005A40CE"/>
    <w:rsid w:val="005C74F3"/>
    <w:rsid w:val="0060296F"/>
    <w:rsid w:val="006265CA"/>
    <w:rsid w:val="0067485B"/>
    <w:rsid w:val="006B4435"/>
    <w:rsid w:val="006C1A55"/>
    <w:rsid w:val="0071194F"/>
    <w:rsid w:val="00716F9E"/>
    <w:rsid w:val="007519A3"/>
    <w:rsid w:val="00781A72"/>
    <w:rsid w:val="007870AD"/>
    <w:rsid w:val="00787EBE"/>
    <w:rsid w:val="007A584B"/>
    <w:rsid w:val="007B1E17"/>
    <w:rsid w:val="007C03AD"/>
    <w:rsid w:val="00836407"/>
    <w:rsid w:val="00836E94"/>
    <w:rsid w:val="0085168A"/>
    <w:rsid w:val="008816CC"/>
    <w:rsid w:val="008931BE"/>
    <w:rsid w:val="008C6DFF"/>
    <w:rsid w:val="008D415D"/>
    <w:rsid w:val="008F25FF"/>
    <w:rsid w:val="009629D6"/>
    <w:rsid w:val="00991E04"/>
    <w:rsid w:val="009A6BD9"/>
    <w:rsid w:val="009E0F93"/>
    <w:rsid w:val="00A03E46"/>
    <w:rsid w:val="00A11BCD"/>
    <w:rsid w:val="00A21EB6"/>
    <w:rsid w:val="00AA1469"/>
    <w:rsid w:val="00AA5E7D"/>
    <w:rsid w:val="00AB21EC"/>
    <w:rsid w:val="00AC5F46"/>
    <w:rsid w:val="00AE0CA7"/>
    <w:rsid w:val="00AF176A"/>
    <w:rsid w:val="00B0138B"/>
    <w:rsid w:val="00B9331E"/>
    <w:rsid w:val="00BE05B9"/>
    <w:rsid w:val="00BE7EB1"/>
    <w:rsid w:val="00BF1E6C"/>
    <w:rsid w:val="00BF1FD3"/>
    <w:rsid w:val="00C002D7"/>
    <w:rsid w:val="00C421FB"/>
    <w:rsid w:val="00C74476"/>
    <w:rsid w:val="00C74E19"/>
    <w:rsid w:val="00C760C7"/>
    <w:rsid w:val="00C96A76"/>
    <w:rsid w:val="00CC7BBA"/>
    <w:rsid w:val="00D1016C"/>
    <w:rsid w:val="00D17B21"/>
    <w:rsid w:val="00D3544D"/>
    <w:rsid w:val="00D843C3"/>
    <w:rsid w:val="00DB6E6D"/>
    <w:rsid w:val="00DC6F5E"/>
    <w:rsid w:val="00DD4B9E"/>
    <w:rsid w:val="00DD69DA"/>
    <w:rsid w:val="00DF3F07"/>
    <w:rsid w:val="00E61F2A"/>
    <w:rsid w:val="00E80F30"/>
    <w:rsid w:val="00ED2D01"/>
    <w:rsid w:val="00F03BB9"/>
    <w:rsid w:val="00F1218F"/>
    <w:rsid w:val="00F17861"/>
    <w:rsid w:val="00F307E2"/>
    <w:rsid w:val="00F325B6"/>
    <w:rsid w:val="00F53C77"/>
    <w:rsid w:val="00F83431"/>
    <w:rsid w:val="00FD0AE4"/>
    <w:rsid w:val="00FE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ACC936-C2A1-4F23-9F21-26081D8A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customStyle="1" w:styleId="Ttulo">
    <w:name w:val="Título"/>
    <w:basedOn w:val="Normal"/>
    <w:qFormat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pPr>
      <w:jc w:val="center"/>
    </w:pPr>
    <w:rPr>
      <w:rFonts w:ascii="Arial" w:hAnsi="Arial" w:cs="Arial"/>
      <w:b/>
      <w:bCs/>
    </w:rPr>
  </w:style>
  <w:style w:type="table" w:styleId="Tablaconcuadrcula">
    <w:name w:val="Table Grid"/>
    <w:basedOn w:val="Tablanormal"/>
    <w:uiPriority w:val="59"/>
    <w:rsid w:val="009E0F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semiHidden/>
    <w:rsid w:val="00AA1469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325B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48925-A95E-457E-8E72-0CCC4FF25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auditoria</cp:lastModifiedBy>
  <cp:revision>9</cp:revision>
  <cp:lastPrinted>2025-11-18T12:53:00Z</cp:lastPrinted>
  <dcterms:created xsi:type="dcterms:W3CDTF">2025-05-13T14:19:00Z</dcterms:created>
  <dcterms:modified xsi:type="dcterms:W3CDTF">2025-11-18T12:54:00Z</dcterms:modified>
</cp:coreProperties>
</file>