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2E6" w:rsidRPr="00753476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>
        <w:rPr>
          <w:rFonts w:ascii="Verdana" w:hAnsi="Verdana"/>
          <w:sz w:val="36"/>
          <w:szCs w:val="36"/>
          <w:u w:val="single"/>
        </w:rPr>
        <w:t>3949</w:t>
      </w:r>
    </w:p>
    <w:p w:rsidR="00094A9C" w:rsidRDefault="00094A9C" w:rsidP="009C42E6">
      <w:pPr>
        <w:jc w:val="center"/>
        <w:rPr>
          <w:rFonts w:ascii="Verdana" w:hAnsi="Verdana"/>
          <w:sz w:val="36"/>
          <w:szCs w:val="36"/>
          <w:u w:val="single"/>
        </w:rPr>
      </w:pPr>
    </w:p>
    <w:p w:rsidR="009C42E6" w:rsidRPr="00204BB1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9C42E6" w:rsidRDefault="009C42E6" w:rsidP="009C42E6">
      <w:pPr>
        <w:rPr>
          <w:rFonts w:ascii="Verdana" w:hAnsi="Verdana"/>
          <w:b/>
          <w:u w:val="single"/>
        </w:rPr>
      </w:pPr>
    </w:p>
    <w:p w:rsidR="009C42E6" w:rsidRDefault="009C42E6" w:rsidP="009C42E6">
      <w:pPr>
        <w:rPr>
          <w:rFonts w:ascii="Verdana" w:hAnsi="Verdana"/>
          <w:u w:val="single"/>
        </w:rPr>
      </w:pPr>
    </w:p>
    <w:p w:rsidR="009C42E6" w:rsidRPr="00613183" w:rsidRDefault="009C42E6" w:rsidP="009C42E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933A56">
        <w:rPr>
          <w:rFonts w:ascii="Verdana" w:hAnsi="Verdana"/>
          <w:b/>
        </w:rPr>
        <w:t>2</w:t>
      </w:r>
      <w:r w:rsidRPr="00613183">
        <w:rPr>
          <w:rFonts w:ascii="Verdana" w:hAnsi="Verdana"/>
          <w:b/>
        </w:rPr>
        <w:t xml:space="preserve">° TRIMESTRE </w:t>
      </w:r>
      <w:r w:rsidR="00B33838">
        <w:rPr>
          <w:rFonts w:ascii="Verdana" w:hAnsi="Verdana"/>
          <w:b/>
        </w:rPr>
        <w:t>2025</w:t>
      </w:r>
    </w:p>
    <w:p w:rsidR="009C42E6" w:rsidRDefault="009C42E6" w:rsidP="009C42E6">
      <w:pPr>
        <w:rPr>
          <w:rFonts w:ascii="Verdana" w:hAnsi="Verdana"/>
          <w:b/>
        </w:rPr>
      </w:pPr>
    </w:p>
    <w:p w:rsidR="009C42E6" w:rsidRPr="00204BB1" w:rsidRDefault="009C42E6" w:rsidP="009C42E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9C42E6" w:rsidRDefault="009C42E6" w:rsidP="009C42E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C42E6" w:rsidRPr="00A63129" w:rsidRDefault="009C42E6" w:rsidP="009C42E6">
      <w:pPr>
        <w:spacing w:line="360" w:lineRule="auto"/>
        <w:jc w:val="both"/>
        <w:rPr>
          <w:rFonts w:ascii="Verdana" w:hAnsi="Verdana"/>
          <w:b/>
          <w:sz w:val="22"/>
          <w:szCs w:val="22"/>
          <w:u w:val="single"/>
        </w:rPr>
      </w:pPr>
      <w:r w:rsidRPr="00A63129">
        <w:rPr>
          <w:rFonts w:ascii="Verdana" w:hAnsi="Verdana"/>
          <w:b/>
          <w:sz w:val="22"/>
          <w:szCs w:val="22"/>
          <w:u w:val="single"/>
        </w:rPr>
        <w:t xml:space="preserve">CAUSAS DE </w:t>
      </w:r>
      <w:r w:rsidR="00C87007" w:rsidRPr="00A63129">
        <w:rPr>
          <w:rFonts w:ascii="Verdana" w:hAnsi="Verdana"/>
          <w:b/>
          <w:sz w:val="22"/>
          <w:szCs w:val="22"/>
          <w:u w:val="single"/>
        </w:rPr>
        <w:t xml:space="preserve">LOS </w:t>
      </w:r>
      <w:r w:rsidRPr="00A63129">
        <w:rPr>
          <w:rFonts w:ascii="Verdana" w:hAnsi="Verdana"/>
          <w:b/>
          <w:sz w:val="22"/>
          <w:szCs w:val="22"/>
          <w:u w:val="single"/>
        </w:rPr>
        <w:t xml:space="preserve">INCUMPLIMIENTOS DE LAS METAS </w:t>
      </w:r>
    </w:p>
    <w:p w:rsidR="006A1427" w:rsidRPr="00E72817" w:rsidRDefault="006A1427" w:rsidP="00493248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E72817">
        <w:rPr>
          <w:rFonts w:ascii="Verdana" w:hAnsi="Verdana"/>
        </w:rPr>
        <w:t xml:space="preserve">Los </w:t>
      </w:r>
      <w:r w:rsidRPr="00493248">
        <w:rPr>
          <w:rFonts w:ascii="Verdana" w:hAnsi="Verdana"/>
          <w:b/>
          <w:u w:val="single"/>
        </w:rPr>
        <w:t>Recursos Corrientes:</w:t>
      </w:r>
      <w:r w:rsidRPr="00E72817">
        <w:rPr>
          <w:rFonts w:ascii="Verdana" w:hAnsi="Verdana"/>
        </w:rPr>
        <w:t xml:space="preserve"> La recaudación la realiza ATM y se registra a nivel global en la Administración Central. </w:t>
      </w:r>
    </w:p>
    <w:p w:rsidR="006A1427" w:rsidRDefault="006A1427" w:rsidP="00493248">
      <w:pPr>
        <w:spacing w:line="360" w:lineRule="auto"/>
        <w:ind w:left="720"/>
        <w:jc w:val="both"/>
        <w:rPr>
          <w:rFonts w:ascii="Verdana" w:hAnsi="Verdana"/>
        </w:rPr>
      </w:pPr>
      <w:r w:rsidRPr="00E72817">
        <w:rPr>
          <w:rFonts w:ascii="Verdana" w:hAnsi="Verdana"/>
        </w:rPr>
        <w:t>Con respecto al recurso programado son los financiamientos que financian erogaciones y están incluidos en el CJUO 1 06 25.  Lo Ejecutado se registra a nivel global en la Administración Central.</w:t>
      </w:r>
    </w:p>
    <w:p w:rsidR="0046192B" w:rsidRPr="00E72817" w:rsidRDefault="0046192B" w:rsidP="00E72817">
      <w:pPr>
        <w:spacing w:line="360" w:lineRule="auto"/>
        <w:ind w:left="720"/>
        <w:jc w:val="both"/>
        <w:rPr>
          <w:rFonts w:ascii="Verdana" w:hAnsi="Verdana"/>
        </w:rPr>
      </w:pPr>
    </w:p>
    <w:p w:rsidR="00DD7618" w:rsidRDefault="009C42E6" w:rsidP="008518A5">
      <w:pPr>
        <w:numPr>
          <w:ilvl w:val="0"/>
          <w:numId w:val="5"/>
        </w:numPr>
        <w:tabs>
          <w:tab w:val="clear" w:pos="786"/>
        </w:tabs>
        <w:spacing w:line="360" w:lineRule="auto"/>
        <w:ind w:left="709" w:hanging="425"/>
        <w:jc w:val="both"/>
        <w:rPr>
          <w:rFonts w:ascii="Verdana" w:hAnsi="Verdana"/>
          <w:color w:val="000000"/>
        </w:rPr>
      </w:pPr>
      <w:r w:rsidRPr="00DD7618">
        <w:rPr>
          <w:rFonts w:ascii="Verdana" w:hAnsi="Verdana"/>
          <w:color w:val="000000"/>
        </w:rPr>
        <w:t xml:space="preserve">Los </w:t>
      </w:r>
      <w:r w:rsidRPr="00DD7618">
        <w:rPr>
          <w:rFonts w:ascii="Verdana" w:hAnsi="Verdana"/>
          <w:b/>
          <w:color w:val="000000"/>
          <w:u w:val="single"/>
        </w:rPr>
        <w:t>Gastos Corrientes:</w:t>
      </w:r>
      <w:r w:rsidRPr="00DD7618">
        <w:rPr>
          <w:rFonts w:ascii="Verdana" w:hAnsi="Verdana"/>
          <w:color w:val="000000"/>
        </w:rPr>
        <w:t xml:space="preserve"> </w:t>
      </w:r>
      <w:r w:rsidR="00301FB6" w:rsidRPr="00DD7618">
        <w:rPr>
          <w:rFonts w:ascii="Verdana" w:hAnsi="Verdana"/>
          <w:color w:val="000000"/>
        </w:rPr>
        <w:t xml:space="preserve">En el presente trimestre </w:t>
      </w:r>
      <w:r w:rsidR="00F36053" w:rsidRPr="00DD7618">
        <w:rPr>
          <w:rFonts w:ascii="Verdana" w:hAnsi="Verdana"/>
          <w:color w:val="000000"/>
        </w:rPr>
        <w:t xml:space="preserve">lo ejecutado es </w:t>
      </w:r>
      <w:r w:rsidR="00933A56" w:rsidRPr="00DD7618">
        <w:rPr>
          <w:rFonts w:ascii="Verdana" w:hAnsi="Verdana"/>
          <w:b/>
          <w:color w:val="000000"/>
        </w:rPr>
        <w:t>mayor</w:t>
      </w:r>
      <w:r w:rsidR="00F36053" w:rsidRPr="00DD7618">
        <w:rPr>
          <w:rFonts w:ascii="Verdana" w:hAnsi="Verdana"/>
          <w:b/>
          <w:color w:val="000000"/>
        </w:rPr>
        <w:t xml:space="preserve"> </w:t>
      </w:r>
      <w:r w:rsidR="00F36053" w:rsidRPr="00DD7618">
        <w:rPr>
          <w:rFonts w:ascii="Verdana" w:hAnsi="Verdana"/>
          <w:color w:val="000000"/>
        </w:rPr>
        <w:t xml:space="preserve"> a lo programado</w:t>
      </w:r>
      <w:r w:rsidR="00493248" w:rsidRPr="00DD7618">
        <w:rPr>
          <w:rFonts w:ascii="Verdana" w:hAnsi="Verdana"/>
          <w:color w:val="000000"/>
        </w:rPr>
        <w:t xml:space="preserve"> lo que se</w:t>
      </w:r>
      <w:r w:rsidR="00D904D7" w:rsidRPr="00DD7618">
        <w:rPr>
          <w:rFonts w:ascii="Verdana" w:hAnsi="Verdana"/>
          <w:color w:val="000000"/>
        </w:rPr>
        <w:t xml:space="preserve"> fundamenta </w:t>
      </w:r>
      <w:r w:rsidR="00F937F7" w:rsidRPr="00DD7618">
        <w:rPr>
          <w:rFonts w:ascii="Verdana" w:hAnsi="Verdana"/>
          <w:color w:val="000000"/>
        </w:rPr>
        <w:t xml:space="preserve">en </w:t>
      </w:r>
      <w:r w:rsidR="00493248" w:rsidRPr="00DD7618">
        <w:rPr>
          <w:rFonts w:ascii="Verdana" w:hAnsi="Verdana"/>
          <w:color w:val="000000"/>
        </w:rPr>
        <w:t xml:space="preserve">los incrementos por </w:t>
      </w:r>
      <w:r w:rsidR="00E75E6E" w:rsidRPr="00DD7618">
        <w:rPr>
          <w:rFonts w:ascii="Verdana" w:hAnsi="Verdana"/>
          <w:color w:val="000000"/>
        </w:rPr>
        <w:t>paritarias otorgados a los Agentes E</w:t>
      </w:r>
      <w:r w:rsidR="00493248" w:rsidRPr="00DD7618">
        <w:rPr>
          <w:rFonts w:ascii="Verdana" w:hAnsi="Verdana"/>
          <w:color w:val="000000"/>
        </w:rPr>
        <w:t>statales</w:t>
      </w:r>
      <w:r w:rsidR="00E75E6E" w:rsidRPr="00DD7618">
        <w:rPr>
          <w:rFonts w:ascii="Verdana" w:hAnsi="Verdana"/>
          <w:color w:val="000000"/>
        </w:rPr>
        <w:t>, aumento de las tarifas de los Servicios Públicos, en Locaciones de Servicios y diversas adecuaciones de Precios a Proveedores</w:t>
      </w:r>
      <w:r w:rsidR="00DD7618">
        <w:rPr>
          <w:rFonts w:ascii="Verdana" w:hAnsi="Verdana"/>
          <w:color w:val="000000"/>
        </w:rPr>
        <w:t>.</w:t>
      </w:r>
    </w:p>
    <w:p w:rsidR="00F937F7" w:rsidRPr="00DD7618" w:rsidRDefault="00F937F7" w:rsidP="00DD7618">
      <w:pPr>
        <w:spacing w:line="360" w:lineRule="auto"/>
        <w:ind w:left="709"/>
        <w:jc w:val="both"/>
        <w:rPr>
          <w:rFonts w:ascii="Verdana" w:hAnsi="Verdana"/>
          <w:color w:val="000000"/>
        </w:rPr>
      </w:pPr>
      <w:r w:rsidRPr="00DD7618">
        <w:rPr>
          <w:rFonts w:ascii="Verdana" w:hAnsi="Verdana"/>
          <w:color w:val="000000"/>
        </w:rPr>
        <w:t>Otro factor a tener en cuenta es  la Coparticipación a los Municipios atento que la  registración de   la segunda quincena correspondiente al  del mes de marzo 2025 impacta en el  2do trimestre; sumando a ello las fluctuaciones de los Recursos por la Coparticipación Nacional percibidos por la Provincia.</w:t>
      </w:r>
    </w:p>
    <w:p w:rsidR="0046192B" w:rsidRPr="00E72817" w:rsidRDefault="0046192B" w:rsidP="00E72817">
      <w:pPr>
        <w:spacing w:line="360" w:lineRule="auto"/>
        <w:ind w:left="709"/>
        <w:jc w:val="both"/>
        <w:rPr>
          <w:rFonts w:ascii="Verdana" w:hAnsi="Verdana"/>
          <w:color w:val="000000"/>
        </w:rPr>
      </w:pPr>
    </w:p>
    <w:p w:rsidR="00C640EE" w:rsidRPr="00207868" w:rsidRDefault="009C42E6" w:rsidP="00E72817">
      <w:pPr>
        <w:pStyle w:val="Prrafodelista"/>
        <w:numPr>
          <w:ilvl w:val="0"/>
          <w:numId w:val="5"/>
        </w:numPr>
        <w:tabs>
          <w:tab w:val="num" w:pos="644"/>
        </w:tabs>
        <w:spacing w:after="200" w:line="360" w:lineRule="auto"/>
        <w:ind w:left="644"/>
        <w:jc w:val="both"/>
        <w:rPr>
          <w:rFonts w:ascii="Verdana" w:hAnsi="Verdana"/>
          <w:color w:val="000000"/>
        </w:rPr>
      </w:pPr>
      <w:r w:rsidRPr="00E72817">
        <w:rPr>
          <w:rFonts w:ascii="Verdana" w:hAnsi="Verdana"/>
        </w:rPr>
        <w:t xml:space="preserve">Los </w:t>
      </w:r>
      <w:r w:rsidRPr="00E72817">
        <w:rPr>
          <w:rFonts w:ascii="Verdana" w:hAnsi="Verdana"/>
          <w:b/>
          <w:u w:val="single"/>
        </w:rPr>
        <w:t>Recursos de Capital:</w:t>
      </w:r>
      <w:r w:rsidRPr="00E72817">
        <w:rPr>
          <w:rFonts w:ascii="Verdana" w:hAnsi="Verdana"/>
        </w:rPr>
        <w:t xml:space="preserve"> </w:t>
      </w:r>
      <w:r w:rsidR="00DD7618">
        <w:rPr>
          <w:rFonts w:ascii="Verdana" w:hAnsi="Verdana"/>
        </w:rPr>
        <w:t xml:space="preserve">Se ejecutaron en el </w:t>
      </w:r>
      <w:r w:rsidR="00DD7618" w:rsidRPr="00DD7618">
        <w:rPr>
          <w:rFonts w:ascii="Verdana" w:hAnsi="Verdana"/>
          <w:b/>
        </w:rPr>
        <w:t>CUC 26</w:t>
      </w:r>
      <w:r w:rsidR="00DD7618">
        <w:rPr>
          <w:rFonts w:ascii="Verdana" w:hAnsi="Verdana"/>
        </w:rPr>
        <w:t xml:space="preserve"> correspondiente a la DAABO </w:t>
      </w:r>
      <w:r w:rsidR="00DD7618" w:rsidRPr="00DD7618">
        <w:rPr>
          <w:rFonts w:ascii="Verdana" w:hAnsi="Verdana"/>
          <w:b/>
        </w:rPr>
        <w:t>“Recupero de Créditos”</w:t>
      </w:r>
      <w:r w:rsidR="00DD7618">
        <w:rPr>
          <w:rFonts w:ascii="Verdana" w:hAnsi="Verdana"/>
        </w:rPr>
        <w:t xml:space="preserve"> (04 2470100000) por un importe de $ 103.179,51 (Pesos ciento tres mil ciento setenta y nueve con 51/100). Con</w:t>
      </w:r>
      <w:r w:rsidR="00C80F48">
        <w:rPr>
          <w:rFonts w:ascii="Verdana" w:hAnsi="Verdana"/>
        </w:rPr>
        <w:t xml:space="preserve"> </w:t>
      </w:r>
      <w:r w:rsidR="00DD7618">
        <w:rPr>
          <w:rFonts w:ascii="Verdana" w:hAnsi="Verdana"/>
        </w:rPr>
        <w:t xml:space="preserve">respecto a este recurso de la DAABO, el organismo no ha realizado </w:t>
      </w:r>
      <w:r w:rsidR="00C80F48">
        <w:rPr>
          <w:rFonts w:ascii="Verdana" w:hAnsi="Verdana"/>
        </w:rPr>
        <w:t>la programación del ejercicio, concluyendo con un recurso a favor.</w:t>
      </w:r>
    </w:p>
    <w:p w:rsidR="00207868" w:rsidRPr="00E72817" w:rsidRDefault="00207868" w:rsidP="00207868">
      <w:pPr>
        <w:pStyle w:val="Prrafodelista"/>
        <w:spacing w:after="200" w:line="360" w:lineRule="auto"/>
        <w:ind w:left="1364"/>
        <w:jc w:val="both"/>
        <w:rPr>
          <w:rFonts w:ascii="Verdana" w:hAnsi="Verdana"/>
          <w:color w:val="000000"/>
        </w:rPr>
      </w:pPr>
    </w:p>
    <w:p w:rsidR="00E72817" w:rsidRPr="00207868" w:rsidRDefault="00B33656" w:rsidP="00207868">
      <w:pPr>
        <w:pStyle w:val="Prrafodelista"/>
        <w:numPr>
          <w:ilvl w:val="0"/>
          <w:numId w:val="13"/>
        </w:numPr>
        <w:jc w:val="both"/>
        <w:rPr>
          <w:rFonts w:ascii="Verdana" w:hAnsi="Verdana"/>
        </w:rPr>
      </w:pPr>
      <w:r w:rsidRPr="00207868">
        <w:rPr>
          <w:rFonts w:ascii="Verdana" w:hAnsi="Verdana"/>
          <w:color w:val="000000"/>
        </w:rPr>
        <w:lastRenderedPageBreak/>
        <w:t xml:space="preserve">Los </w:t>
      </w:r>
      <w:r w:rsidRPr="00207868">
        <w:rPr>
          <w:rFonts w:ascii="Verdana" w:hAnsi="Verdana"/>
          <w:b/>
          <w:color w:val="000000"/>
          <w:u w:val="single"/>
        </w:rPr>
        <w:t>Gastos de Capital:</w:t>
      </w:r>
      <w:r w:rsidRPr="00207868">
        <w:rPr>
          <w:rFonts w:ascii="Verdana" w:hAnsi="Verdana"/>
          <w:color w:val="000000"/>
        </w:rPr>
        <w:t xml:space="preserve">  </w:t>
      </w:r>
      <w:r w:rsidR="0006121F" w:rsidRPr="00207868">
        <w:rPr>
          <w:rFonts w:ascii="Verdana" w:hAnsi="Verdana"/>
          <w:color w:val="000000"/>
        </w:rPr>
        <w:t xml:space="preserve"> </w:t>
      </w:r>
      <w:r w:rsidR="001B234B" w:rsidRPr="00207868">
        <w:rPr>
          <w:rFonts w:ascii="Verdana" w:hAnsi="Verdana"/>
          <w:color w:val="000000"/>
        </w:rPr>
        <w:t xml:space="preserve">En el presente trimestre, en este concepto  se ejecutaron erogaciones de capital </w:t>
      </w:r>
      <w:r w:rsidR="00C640EE" w:rsidRPr="00207868">
        <w:rPr>
          <w:rFonts w:ascii="Verdana" w:hAnsi="Verdana"/>
          <w:color w:val="000000"/>
        </w:rPr>
        <w:t>por el</w:t>
      </w:r>
      <w:r w:rsidR="00C640EE" w:rsidRPr="00207868">
        <w:rPr>
          <w:rFonts w:ascii="Verdana" w:hAnsi="Verdana"/>
        </w:rPr>
        <w:t xml:space="preserve"> monto de $</w:t>
      </w:r>
      <w:r w:rsidR="00843E3F" w:rsidRPr="00207868">
        <w:rPr>
          <w:rFonts w:ascii="Verdana" w:hAnsi="Verdana"/>
        </w:rPr>
        <w:t>3.131.313.325,23</w:t>
      </w:r>
      <w:r w:rsidR="00C640EE" w:rsidRPr="00207868">
        <w:rPr>
          <w:rFonts w:ascii="Verdana" w:hAnsi="Verdana"/>
        </w:rPr>
        <w:t xml:space="preserve"> (pesos </w:t>
      </w:r>
      <w:r w:rsidR="00843E3F" w:rsidRPr="00207868">
        <w:rPr>
          <w:rFonts w:ascii="Verdana" w:hAnsi="Verdana"/>
        </w:rPr>
        <w:t>tres mil ciento treinta y un millones, trescientos trece mil trescientos veinticinco con 23/100</w:t>
      </w:r>
      <w:r w:rsidR="00C640EE" w:rsidRPr="00207868">
        <w:rPr>
          <w:rFonts w:ascii="Verdana" w:hAnsi="Verdana"/>
        </w:rPr>
        <w:t>)</w:t>
      </w:r>
      <w:r w:rsidR="001B234B" w:rsidRPr="00207868">
        <w:rPr>
          <w:rFonts w:ascii="Verdana" w:hAnsi="Verdana"/>
        </w:rPr>
        <w:t>;</w:t>
      </w:r>
      <w:r w:rsidR="009B55F0" w:rsidRPr="00207868">
        <w:rPr>
          <w:rFonts w:ascii="Verdana" w:hAnsi="Verdana"/>
        </w:rPr>
        <w:t>a saber</w:t>
      </w:r>
      <w:r w:rsidR="001B234B" w:rsidRPr="00207868">
        <w:rPr>
          <w:rFonts w:ascii="Verdana" w:hAnsi="Verdana"/>
        </w:rPr>
        <w:t>:</w:t>
      </w:r>
    </w:p>
    <w:p w:rsidR="00B84B51" w:rsidRDefault="00B84B51" w:rsidP="00B84B51">
      <w:pPr>
        <w:pStyle w:val="Prrafodelista"/>
        <w:spacing w:line="360" w:lineRule="auto"/>
        <w:ind w:left="720"/>
        <w:jc w:val="both"/>
        <w:rPr>
          <w:rFonts w:ascii="Verdana" w:hAnsi="Verdana"/>
        </w:rPr>
      </w:pPr>
    </w:p>
    <w:p w:rsidR="00B84B51" w:rsidRPr="0046192B" w:rsidRDefault="00B84B51" w:rsidP="00B84B51">
      <w:pPr>
        <w:pStyle w:val="Prrafodelista"/>
        <w:spacing w:line="360" w:lineRule="auto"/>
        <w:ind w:left="720"/>
        <w:jc w:val="both"/>
        <w:rPr>
          <w:rFonts w:ascii="Verdana" w:hAnsi="Verdana"/>
        </w:rPr>
      </w:pPr>
    </w:p>
    <w:p w:rsidR="00B84B51" w:rsidRDefault="00B84B51" w:rsidP="00B84B51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Verdana" w:hAnsi="Verdana"/>
        </w:rPr>
      </w:pPr>
      <w:r w:rsidRPr="00EA223B">
        <w:rPr>
          <w:rFonts w:ascii="Verdana" w:hAnsi="Verdana"/>
          <w:b/>
        </w:rPr>
        <w:t>Diversas Compras de Bienes de Capital</w:t>
      </w:r>
      <w:r>
        <w:rPr>
          <w:rFonts w:ascii="Verdana" w:hAnsi="Verdana"/>
        </w:rPr>
        <w:t xml:space="preserve"> en las siguientes reparticiones: </w:t>
      </w:r>
    </w:p>
    <w:p w:rsidR="00B84B51" w:rsidRDefault="00B84B51" w:rsidP="00B84B51">
      <w:pPr>
        <w:pStyle w:val="Prrafodelista"/>
        <w:numPr>
          <w:ilvl w:val="0"/>
          <w:numId w:val="10"/>
        </w:numPr>
        <w:spacing w:line="360" w:lineRule="auto"/>
        <w:jc w:val="both"/>
        <w:rPr>
          <w:rFonts w:ascii="Verdana" w:hAnsi="Verdana"/>
        </w:rPr>
      </w:pPr>
      <w:r w:rsidRPr="006911EF">
        <w:rPr>
          <w:rFonts w:ascii="Verdana" w:hAnsi="Verdana"/>
          <w:b/>
        </w:rPr>
        <w:t>Ministerio de Hacienda y Finanzas</w:t>
      </w:r>
      <w:r w:rsidR="006911EF">
        <w:rPr>
          <w:rFonts w:ascii="Verdana" w:hAnsi="Verdana"/>
          <w:b/>
        </w:rPr>
        <w:t>:</w:t>
      </w:r>
      <w:r>
        <w:rPr>
          <w:rFonts w:ascii="Verdana" w:hAnsi="Verdana"/>
        </w:rPr>
        <w:t xml:space="preserve"> 1 (un) Access Point por un monto total de $ 310.000,00 (Pesos trescientos diez mil con 00/100); 1 (un) </w:t>
      </w:r>
      <w:proofErr w:type="spellStart"/>
      <w:r>
        <w:rPr>
          <w:rFonts w:ascii="Verdana" w:hAnsi="Verdana"/>
        </w:rPr>
        <w:t>Switch</w:t>
      </w:r>
      <w:proofErr w:type="spellEnd"/>
      <w:r>
        <w:rPr>
          <w:rFonts w:ascii="Verdana" w:hAnsi="Verdana"/>
        </w:rPr>
        <w:t xml:space="preserve"> de 8 Puertos por un monto total de $930.000,00 (Pesos novecientos treinta mil con 00/100), 1 (un) Atornillador Inalámbrico por un monto total de $ 160.00</w:t>
      </w:r>
      <w:r w:rsidR="006911EF">
        <w:rPr>
          <w:rFonts w:ascii="Verdana" w:hAnsi="Verdana"/>
        </w:rPr>
        <w:t>0,00 (Pesos ciento sesenta mil); 1 (una) Cafetera por un monto total de $357.000,09 (Pesos trescientos cincuenta y siete mil con 09/100) y 1 (una) Cafetera por un monto total de $230.902,50 (Pesos doscientos treinta mil novecientos dos con 50/100).</w:t>
      </w:r>
    </w:p>
    <w:p w:rsidR="00B84B51" w:rsidRPr="006911EF" w:rsidRDefault="00B84B51" w:rsidP="00B84B51">
      <w:pPr>
        <w:pStyle w:val="Prrafodelista"/>
        <w:numPr>
          <w:ilvl w:val="0"/>
          <w:numId w:val="10"/>
        </w:numPr>
        <w:spacing w:line="360" w:lineRule="auto"/>
        <w:jc w:val="both"/>
        <w:rPr>
          <w:rFonts w:ascii="Verdana" w:hAnsi="Verdana"/>
        </w:rPr>
      </w:pPr>
      <w:r w:rsidRPr="006911EF">
        <w:rPr>
          <w:rFonts w:ascii="Verdana" w:hAnsi="Verdana"/>
          <w:b/>
        </w:rPr>
        <w:t>Dirección General de Presupuesto</w:t>
      </w:r>
      <w:r w:rsidR="006911EF">
        <w:rPr>
          <w:rFonts w:ascii="Verdana" w:hAnsi="Verdana"/>
          <w:b/>
        </w:rPr>
        <w:t>:</w:t>
      </w:r>
      <w:r>
        <w:rPr>
          <w:rFonts w:ascii="Verdana" w:hAnsi="Verdana"/>
        </w:rPr>
        <w:t xml:space="preserve"> 15 (quince) </w:t>
      </w:r>
      <w:proofErr w:type="spellStart"/>
      <w:r w:rsidR="00A655DE">
        <w:rPr>
          <w:rFonts w:ascii="Verdana" w:hAnsi="Verdana"/>
        </w:rPr>
        <w:t>Caloventores</w:t>
      </w:r>
      <w:proofErr w:type="spellEnd"/>
      <w:r>
        <w:rPr>
          <w:rFonts w:ascii="Verdana" w:hAnsi="Verdana"/>
        </w:rPr>
        <w:t xml:space="preserve"> </w:t>
      </w:r>
      <w:r w:rsidR="00A655DE">
        <w:rPr>
          <w:rFonts w:ascii="Verdana" w:hAnsi="Verdana"/>
        </w:rPr>
        <w:t>por un monto total de $1.851.000,45 (Pesos un millón ochocientos cincuenta y un mil con 45/100</w:t>
      </w:r>
      <w:r w:rsidR="006911EF">
        <w:rPr>
          <w:rFonts w:ascii="Verdana" w:hAnsi="Verdana"/>
        </w:rPr>
        <w:t>.</w:t>
      </w:r>
    </w:p>
    <w:p w:rsidR="00A655DE" w:rsidRDefault="00A655DE" w:rsidP="00A655DE">
      <w:pPr>
        <w:pStyle w:val="Prrafodelista"/>
        <w:numPr>
          <w:ilvl w:val="0"/>
          <w:numId w:val="10"/>
        </w:numPr>
        <w:spacing w:line="360" w:lineRule="auto"/>
        <w:jc w:val="both"/>
        <w:rPr>
          <w:rFonts w:ascii="Verdana" w:hAnsi="Verdana"/>
        </w:rPr>
      </w:pPr>
      <w:r w:rsidRPr="006911EF">
        <w:rPr>
          <w:rFonts w:ascii="Verdana" w:hAnsi="Verdana"/>
          <w:b/>
        </w:rPr>
        <w:t xml:space="preserve">Contaduría General de la Provincia: </w:t>
      </w:r>
      <w:r w:rsidR="00EA223B">
        <w:rPr>
          <w:rFonts w:ascii="Verdana" w:hAnsi="Verdana"/>
        </w:rPr>
        <w:t xml:space="preserve">1 (un) Access Point por un monto total de $ 310.000,00 (Pesos trescientos diez mil con 00/100); </w:t>
      </w:r>
      <w:r>
        <w:rPr>
          <w:rFonts w:ascii="Verdana" w:hAnsi="Verdana"/>
        </w:rPr>
        <w:t xml:space="preserve">1 (un) </w:t>
      </w:r>
      <w:r w:rsidR="006911EF">
        <w:rPr>
          <w:rFonts w:ascii="Verdana" w:hAnsi="Verdana"/>
        </w:rPr>
        <w:t>Termo tanque</w:t>
      </w:r>
      <w:r>
        <w:rPr>
          <w:rFonts w:ascii="Verdana" w:hAnsi="Verdana"/>
        </w:rPr>
        <w:t xml:space="preserve"> por un monto total de $ </w:t>
      </w:r>
      <w:r w:rsidR="006911EF">
        <w:rPr>
          <w:rFonts w:ascii="Verdana" w:hAnsi="Verdana"/>
        </w:rPr>
        <w:t>285.400</w:t>
      </w:r>
      <w:r>
        <w:rPr>
          <w:rFonts w:ascii="Verdana" w:hAnsi="Verdana"/>
        </w:rPr>
        <w:t xml:space="preserve">,00 (Pesos </w:t>
      </w:r>
      <w:r w:rsidR="006911EF">
        <w:rPr>
          <w:rFonts w:ascii="Verdana" w:hAnsi="Verdana"/>
        </w:rPr>
        <w:t>Doscientos ochenta y cinco</w:t>
      </w:r>
      <w:r>
        <w:rPr>
          <w:rFonts w:ascii="Verdana" w:hAnsi="Verdana"/>
        </w:rPr>
        <w:t xml:space="preserve"> mil </w:t>
      </w:r>
      <w:r w:rsidR="006911EF">
        <w:rPr>
          <w:rFonts w:ascii="Verdana" w:hAnsi="Verdana"/>
        </w:rPr>
        <w:t xml:space="preserve"> cuatrocientos </w:t>
      </w:r>
      <w:r>
        <w:rPr>
          <w:rFonts w:ascii="Verdana" w:hAnsi="Verdana"/>
        </w:rPr>
        <w:t xml:space="preserve">con 00/100); 1 (un) </w:t>
      </w:r>
      <w:r w:rsidR="006911EF">
        <w:rPr>
          <w:rFonts w:ascii="Verdana" w:hAnsi="Verdana"/>
        </w:rPr>
        <w:t>Equipo de Aire Acondicionado por un monto total de $ 1.860.000,00 (Pesos un millón ochocientos sesenta mil con 00/100).</w:t>
      </w:r>
    </w:p>
    <w:p w:rsidR="001E64AA" w:rsidRDefault="00843E3F" w:rsidP="00B84B51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Verdana" w:hAnsi="Verdana"/>
        </w:rPr>
      </w:pPr>
      <w:r w:rsidRPr="00B84B51">
        <w:rPr>
          <w:rFonts w:ascii="Verdana" w:hAnsi="Verdana"/>
          <w:b/>
        </w:rPr>
        <w:t>Aporte de Capital</w:t>
      </w:r>
      <w:r w:rsidR="007F4427" w:rsidRPr="00B84B51">
        <w:rPr>
          <w:rFonts w:ascii="Verdana" w:hAnsi="Verdana"/>
          <w:b/>
        </w:rPr>
        <w:t xml:space="preserve"> </w:t>
      </w:r>
      <w:r w:rsidR="00DB1D19" w:rsidRPr="00B84B51">
        <w:rPr>
          <w:rFonts w:ascii="Verdana" w:hAnsi="Verdana"/>
          <w:b/>
        </w:rPr>
        <w:t>(</w:t>
      </w:r>
      <w:r w:rsidRPr="00B84B51">
        <w:rPr>
          <w:rFonts w:ascii="Verdana" w:hAnsi="Verdana"/>
          <w:b/>
        </w:rPr>
        <w:t>52100</w:t>
      </w:r>
      <w:r w:rsidR="00DB1D19" w:rsidRPr="00B84B51">
        <w:rPr>
          <w:rFonts w:ascii="Verdana" w:hAnsi="Verdana"/>
          <w:b/>
        </w:rPr>
        <w:t>)</w:t>
      </w:r>
      <w:r w:rsidR="003E47C5" w:rsidRPr="00B84B51">
        <w:rPr>
          <w:rFonts w:ascii="Verdana" w:hAnsi="Verdana"/>
          <w:b/>
        </w:rPr>
        <w:t xml:space="preserve">: </w:t>
      </w:r>
      <w:r w:rsidR="009B55F0" w:rsidRPr="00B84B51">
        <w:rPr>
          <w:rFonts w:ascii="Verdana" w:hAnsi="Verdana"/>
        </w:rPr>
        <w:t>corresponde al</w:t>
      </w:r>
      <w:r w:rsidR="0046192B" w:rsidRPr="00B84B51">
        <w:rPr>
          <w:rFonts w:ascii="Verdana" w:hAnsi="Verdana"/>
          <w:b/>
        </w:rPr>
        <w:t xml:space="preserve"> </w:t>
      </w:r>
      <w:r w:rsidR="00665CF5" w:rsidRPr="00B84B51">
        <w:rPr>
          <w:rFonts w:ascii="Verdana" w:hAnsi="Verdana" w:cs="Arial"/>
        </w:rPr>
        <w:t>Convenio firmado entre</w:t>
      </w:r>
      <w:r w:rsidR="00DB1D19" w:rsidRPr="00B84B51">
        <w:rPr>
          <w:rFonts w:ascii="Verdana" w:hAnsi="Verdana" w:cs="Arial"/>
        </w:rPr>
        <w:t xml:space="preserve"> </w:t>
      </w:r>
      <w:r w:rsidRPr="00B84B51">
        <w:rPr>
          <w:rFonts w:ascii="Verdana" w:hAnsi="Verdana" w:cs="Arial"/>
        </w:rPr>
        <w:t>Mendoza Fiduciaria S.A.</w:t>
      </w:r>
      <w:r w:rsidR="00DB1D19" w:rsidRPr="00B84B51">
        <w:rPr>
          <w:rFonts w:ascii="Verdana" w:hAnsi="Verdana" w:cs="Arial"/>
        </w:rPr>
        <w:t xml:space="preserve"> y el Ministerio de Hacienda</w:t>
      </w:r>
      <w:r w:rsidR="009B55F0" w:rsidRPr="00B84B51">
        <w:rPr>
          <w:rFonts w:ascii="Verdana" w:hAnsi="Verdana" w:cs="Arial"/>
        </w:rPr>
        <w:t xml:space="preserve"> y Finanzas, aprobado por D</w:t>
      </w:r>
      <w:r w:rsidR="00DB1D19" w:rsidRPr="00B84B51">
        <w:rPr>
          <w:rFonts w:ascii="Verdana" w:hAnsi="Verdana" w:cs="Arial"/>
        </w:rPr>
        <w:t xml:space="preserve">ecreto </w:t>
      </w:r>
      <w:r w:rsidR="00207868">
        <w:rPr>
          <w:rFonts w:ascii="Verdana" w:hAnsi="Verdana" w:cs="Arial"/>
        </w:rPr>
        <w:t>N°</w:t>
      </w:r>
      <w:r w:rsidR="00DB1D19" w:rsidRPr="00B84B51">
        <w:rPr>
          <w:rFonts w:ascii="Verdana" w:hAnsi="Verdana" w:cs="Arial"/>
        </w:rPr>
        <w:t xml:space="preserve"> </w:t>
      </w:r>
      <w:r w:rsidR="001E64AA" w:rsidRPr="00B84B51">
        <w:rPr>
          <w:rFonts w:ascii="Verdana" w:hAnsi="Verdana" w:cs="Arial"/>
        </w:rPr>
        <w:t>994</w:t>
      </w:r>
      <w:r w:rsidR="00207868">
        <w:rPr>
          <w:rFonts w:ascii="Verdana" w:hAnsi="Verdana" w:cs="Arial"/>
        </w:rPr>
        <w:t>/</w:t>
      </w:r>
      <w:r w:rsidR="00DB1D19" w:rsidRPr="00B84B51">
        <w:rPr>
          <w:rFonts w:ascii="Verdana" w:hAnsi="Verdana" w:cs="Arial"/>
        </w:rPr>
        <w:t>2025</w:t>
      </w:r>
      <w:r w:rsidR="003E47C5" w:rsidRPr="00B84B51">
        <w:rPr>
          <w:rFonts w:ascii="Verdana" w:hAnsi="Verdana" w:cs="Arial"/>
        </w:rPr>
        <w:t xml:space="preserve"> por </w:t>
      </w:r>
      <w:r w:rsidR="003E47C5" w:rsidRPr="00B84B51">
        <w:rPr>
          <w:rFonts w:ascii="Verdana" w:hAnsi="Verdana" w:cs="Arial"/>
          <w:b/>
        </w:rPr>
        <w:t>$700.000.000,00</w:t>
      </w:r>
      <w:r w:rsidR="003E47C5" w:rsidRPr="00B84B51">
        <w:rPr>
          <w:rFonts w:ascii="Verdana" w:hAnsi="Verdana" w:cs="Arial"/>
        </w:rPr>
        <w:t xml:space="preserve"> (Pesos setecientos millones con 00/100), </w:t>
      </w:r>
      <w:r w:rsidR="001E64AA" w:rsidRPr="00B84B51">
        <w:rPr>
          <w:rFonts w:ascii="Verdana" w:hAnsi="Verdana" w:cs="Arial"/>
        </w:rPr>
        <w:t xml:space="preserve">con el objeto  de </w:t>
      </w:r>
      <w:r w:rsidR="001E64AA" w:rsidRPr="00B84B51">
        <w:rPr>
          <w:rFonts w:ascii="Verdana" w:hAnsi="Verdana"/>
        </w:rPr>
        <w:t xml:space="preserve"> cumplimentar con lo dispuesto por las NORMAS CNV 2013 en el Capítulo IV, Sección IV, Articulo VII, inciso j el que establece: "... se requiere un Patrimonio Neto no inferior a un monto</w:t>
      </w:r>
      <w:r w:rsidR="001E64AA">
        <w:t xml:space="preserve"> </w:t>
      </w:r>
      <w:r w:rsidR="001E64AA" w:rsidRPr="00B84B51">
        <w:rPr>
          <w:rFonts w:ascii="Verdana" w:hAnsi="Verdana"/>
        </w:rPr>
        <w:t xml:space="preserve">equivalente a UNIDADES DE VALOR ADQUISITIVO actualizables por </w:t>
      </w:r>
      <w:r w:rsidR="001E64AA" w:rsidRPr="00B84B51">
        <w:rPr>
          <w:rFonts w:ascii="Verdana" w:hAnsi="Verdana"/>
        </w:rPr>
        <w:lastRenderedPageBreak/>
        <w:t xml:space="preserve">CER - Ley N° 25.827, NOVECIENTAS CINCUENTA MIL (UVA 950.000.-) y </w:t>
      </w:r>
      <w:r w:rsidR="003E47C5" w:rsidRPr="00B84B51">
        <w:rPr>
          <w:rFonts w:ascii="Verdana" w:hAnsi="Verdana"/>
        </w:rPr>
        <w:t>así</w:t>
      </w:r>
      <w:r w:rsidR="001E64AA" w:rsidRPr="00B84B51">
        <w:rPr>
          <w:rFonts w:ascii="Verdana" w:hAnsi="Verdana"/>
        </w:rPr>
        <w:t xml:space="preserve"> dar continuidad a Mendoza Fiduciaria S.A. para actuar como Fiduciaria </w:t>
      </w:r>
      <w:r w:rsidR="003E47C5" w:rsidRPr="00B84B51">
        <w:rPr>
          <w:rFonts w:ascii="Verdana" w:hAnsi="Verdana"/>
        </w:rPr>
        <w:t>Financiera</w:t>
      </w:r>
      <w:r w:rsidR="001E64AA" w:rsidRPr="00B84B51">
        <w:rPr>
          <w:rFonts w:ascii="Verdana" w:hAnsi="Verdana"/>
        </w:rPr>
        <w:t>.</w:t>
      </w:r>
    </w:p>
    <w:p w:rsidR="00207868" w:rsidRDefault="003E47C5" w:rsidP="00B84B51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Verdana" w:hAnsi="Verdana"/>
        </w:rPr>
      </w:pPr>
      <w:r w:rsidRPr="00B84B51">
        <w:rPr>
          <w:rFonts w:ascii="Verdana" w:hAnsi="Verdana" w:cs="Arial"/>
          <w:b/>
        </w:rPr>
        <w:t>Otros Títulos y Valores (52401):</w:t>
      </w:r>
      <w:r w:rsidRPr="00B84B51">
        <w:rPr>
          <w:rFonts w:ascii="Verdana" w:hAnsi="Verdana" w:cs="Arial"/>
        </w:rPr>
        <w:t xml:space="preserve"> </w:t>
      </w:r>
      <w:r w:rsidR="00207868">
        <w:rPr>
          <w:rFonts w:ascii="Verdana" w:hAnsi="Verdana"/>
        </w:rPr>
        <w:t>corresponde:</w:t>
      </w:r>
    </w:p>
    <w:p w:rsidR="00B84B51" w:rsidRDefault="00665CF5" w:rsidP="00207868">
      <w:pPr>
        <w:pStyle w:val="Prrafodelista"/>
        <w:spacing w:line="360" w:lineRule="auto"/>
        <w:ind w:left="1146"/>
        <w:jc w:val="both"/>
        <w:rPr>
          <w:rFonts w:ascii="Verdana" w:hAnsi="Verdana"/>
        </w:rPr>
      </w:pPr>
      <w:r w:rsidRPr="00B84B51">
        <w:rPr>
          <w:rFonts w:ascii="Verdana" w:hAnsi="Verdana" w:cs="Arial"/>
        </w:rPr>
        <w:t xml:space="preserve">Convenio firmado entre </w:t>
      </w:r>
      <w:r w:rsidR="00207868">
        <w:rPr>
          <w:rFonts w:ascii="Verdana" w:hAnsi="Verdana" w:cs="Arial"/>
        </w:rPr>
        <w:t xml:space="preserve">el </w:t>
      </w:r>
      <w:r w:rsidR="003E47C5" w:rsidRPr="00B84B51">
        <w:rPr>
          <w:rFonts w:ascii="Verdana" w:hAnsi="Verdana" w:cs="Arial"/>
        </w:rPr>
        <w:t xml:space="preserve">Ministerio de </w:t>
      </w:r>
      <w:r w:rsidRPr="00B84B51">
        <w:rPr>
          <w:rFonts w:ascii="Verdana" w:hAnsi="Verdana" w:cs="Arial"/>
        </w:rPr>
        <w:t>Educación</w:t>
      </w:r>
      <w:r w:rsidR="003E47C5" w:rsidRPr="00B84B51">
        <w:rPr>
          <w:rFonts w:ascii="Verdana" w:hAnsi="Verdana" w:cs="Arial"/>
        </w:rPr>
        <w:t xml:space="preserve">, Cultura, Infancia y </w:t>
      </w:r>
      <w:r w:rsidRPr="00B84B51">
        <w:rPr>
          <w:rFonts w:ascii="Verdana" w:hAnsi="Verdana" w:cs="Arial"/>
        </w:rPr>
        <w:t>DGE</w:t>
      </w:r>
      <w:r w:rsidR="003E47C5" w:rsidRPr="00B84B51">
        <w:rPr>
          <w:rFonts w:ascii="Verdana" w:hAnsi="Verdana" w:cs="Arial"/>
        </w:rPr>
        <w:t xml:space="preserve">. </w:t>
      </w:r>
      <w:proofErr w:type="gramStart"/>
      <w:r w:rsidR="003E47C5" w:rsidRPr="00B84B51">
        <w:rPr>
          <w:rFonts w:ascii="Verdana" w:hAnsi="Verdana" w:cs="Arial"/>
        </w:rPr>
        <w:t>y</w:t>
      </w:r>
      <w:proofErr w:type="gramEnd"/>
      <w:r w:rsidR="003E47C5" w:rsidRPr="00B84B51">
        <w:rPr>
          <w:rFonts w:ascii="Verdana" w:hAnsi="Verdana" w:cs="Arial"/>
        </w:rPr>
        <w:t xml:space="preserve"> el Ministerio de Hacienda y Finanzas, aprobado por Decreto </w:t>
      </w:r>
      <w:r w:rsidR="00207868">
        <w:rPr>
          <w:rFonts w:ascii="Verdana" w:hAnsi="Verdana" w:cs="Arial"/>
        </w:rPr>
        <w:t>N°</w:t>
      </w:r>
      <w:r w:rsidRPr="00B84B51">
        <w:rPr>
          <w:rFonts w:ascii="Verdana" w:hAnsi="Verdana" w:cs="Arial"/>
        </w:rPr>
        <w:t>1195</w:t>
      </w:r>
      <w:r w:rsidR="00207868">
        <w:rPr>
          <w:rFonts w:ascii="Verdana" w:hAnsi="Verdana" w:cs="Arial"/>
        </w:rPr>
        <w:t>/</w:t>
      </w:r>
      <w:r w:rsidR="003E47C5" w:rsidRPr="00B84B51">
        <w:rPr>
          <w:rFonts w:ascii="Verdana" w:hAnsi="Verdana" w:cs="Arial"/>
        </w:rPr>
        <w:t xml:space="preserve">2025 por </w:t>
      </w:r>
      <w:r w:rsidR="003E47C5" w:rsidRPr="00B84B51">
        <w:rPr>
          <w:rFonts w:ascii="Verdana" w:hAnsi="Verdana" w:cs="Arial"/>
          <w:b/>
        </w:rPr>
        <w:t>$</w:t>
      </w:r>
      <w:r w:rsidRPr="00B84B51">
        <w:rPr>
          <w:rFonts w:ascii="Verdana" w:hAnsi="Verdana" w:cs="Arial"/>
          <w:b/>
        </w:rPr>
        <w:t>8</w:t>
      </w:r>
      <w:r w:rsidR="003E47C5" w:rsidRPr="00B84B51">
        <w:rPr>
          <w:rFonts w:ascii="Verdana" w:hAnsi="Verdana" w:cs="Arial"/>
          <w:b/>
        </w:rPr>
        <w:t>00.000.000,00</w:t>
      </w:r>
      <w:r w:rsidR="003E47C5" w:rsidRPr="00B84B51">
        <w:rPr>
          <w:rFonts w:ascii="Verdana" w:hAnsi="Verdana" w:cs="Arial"/>
        </w:rPr>
        <w:t xml:space="preserve"> (Pesos </w:t>
      </w:r>
      <w:r w:rsidRPr="00B84B51">
        <w:rPr>
          <w:rFonts w:ascii="Verdana" w:hAnsi="Verdana" w:cs="Arial"/>
        </w:rPr>
        <w:t xml:space="preserve">ochocientos </w:t>
      </w:r>
      <w:r w:rsidR="003E47C5" w:rsidRPr="00B84B51">
        <w:rPr>
          <w:rFonts w:ascii="Verdana" w:hAnsi="Verdana" w:cs="Arial"/>
        </w:rPr>
        <w:t xml:space="preserve">millones con 00/100), </w:t>
      </w:r>
      <w:r w:rsidRPr="00B84B51">
        <w:rPr>
          <w:rFonts w:ascii="Verdana" w:hAnsi="Verdana" w:cs="Arial"/>
        </w:rPr>
        <w:t>en el marco del plan de modernización de sistemas y plataforma DGE</w:t>
      </w:r>
      <w:r w:rsidR="00DB1D19" w:rsidRPr="00B84B51">
        <w:rPr>
          <w:rFonts w:ascii="Verdana" w:hAnsi="Verdana" w:cs="Arial"/>
        </w:rPr>
        <w:t xml:space="preserve"> a través del aporte de fondos al </w:t>
      </w:r>
      <w:r w:rsidR="009B55F0" w:rsidRPr="00B84B51">
        <w:rPr>
          <w:rFonts w:ascii="Verdana" w:hAnsi="Verdana" w:cs="Arial"/>
        </w:rPr>
        <w:t>“</w:t>
      </w:r>
      <w:r w:rsidR="00DB1D19" w:rsidRPr="00B84B51">
        <w:rPr>
          <w:rFonts w:ascii="Verdana" w:hAnsi="Verdana" w:cs="Arial"/>
        </w:rPr>
        <w:t>Fideicomiso de Administración para la Conectividad para el Desarrollo Productivo de la Provincia de Mendoza</w:t>
      </w:r>
      <w:r w:rsidR="001B234B" w:rsidRPr="00B84B51">
        <w:rPr>
          <w:rFonts w:ascii="Verdana" w:hAnsi="Verdana"/>
        </w:rPr>
        <w:t>”</w:t>
      </w:r>
      <w:r w:rsidRPr="00B84B51">
        <w:rPr>
          <w:rFonts w:ascii="Verdana" w:hAnsi="Verdana"/>
        </w:rPr>
        <w:t>.</w:t>
      </w:r>
      <w:r w:rsidR="001B234B" w:rsidRPr="00B84B51">
        <w:rPr>
          <w:rFonts w:ascii="Verdana" w:hAnsi="Verdana"/>
        </w:rPr>
        <w:t xml:space="preserve"> </w:t>
      </w:r>
    </w:p>
    <w:p w:rsidR="00B84B51" w:rsidRPr="00B84B51" w:rsidRDefault="00B84B51" w:rsidP="00B84B51">
      <w:pPr>
        <w:pStyle w:val="Prrafodelista"/>
        <w:spacing w:line="360" w:lineRule="auto"/>
        <w:ind w:left="1146"/>
        <w:jc w:val="both"/>
        <w:rPr>
          <w:rFonts w:ascii="Verdana" w:hAnsi="Verdana"/>
        </w:rPr>
      </w:pPr>
    </w:p>
    <w:p w:rsidR="00665CF5" w:rsidRPr="00B84B51" w:rsidRDefault="00665CF5" w:rsidP="00B84B51">
      <w:pPr>
        <w:pStyle w:val="Prrafodelista"/>
        <w:spacing w:line="360" w:lineRule="auto"/>
        <w:ind w:left="1146"/>
        <w:jc w:val="both"/>
        <w:rPr>
          <w:rFonts w:ascii="Verdana" w:hAnsi="Verdana" w:cstheme="minorHAnsi"/>
          <w:color w:val="000000" w:themeColor="text1"/>
        </w:rPr>
      </w:pPr>
      <w:r w:rsidRPr="00B84B51">
        <w:rPr>
          <w:rFonts w:ascii="Verdana" w:hAnsi="Verdana" w:cs="Arial"/>
        </w:rPr>
        <w:t xml:space="preserve">Convenio firmado entre Mendoza Fiduciaria S.A. y  el Ministerio de Hacienda y Finanzas, aprobado por Decreto </w:t>
      </w:r>
      <w:r w:rsidR="00207868">
        <w:rPr>
          <w:rFonts w:ascii="Verdana" w:hAnsi="Verdana" w:cs="Arial"/>
        </w:rPr>
        <w:t>N° 1160/</w:t>
      </w:r>
      <w:r w:rsidRPr="00B84B51">
        <w:rPr>
          <w:rFonts w:ascii="Verdana" w:hAnsi="Verdana" w:cs="Arial"/>
        </w:rPr>
        <w:t xml:space="preserve">2025 por </w:t>
      </w:r>
      <w:r w:rsidRPr="00B84B51">
        <w:rPr>
          <w:rFonts w:ascii="Verdana" w:hAnsi="Verdana" w:cs="Arial"/>
          <w:b/>
        </w:rPr>
        <w:t>$550.000.000,00</w:t>
      </w:r>
      <w:r w:rsidRPr="00B84B51">
        <w:rPr>
          <w:rFonts w:ascii="Verdana" w:hAnsi="Verdana" w:cs="Arial"/>
        </w:rPr>
        <w:t xml:space="preserve"> (Pesos quinientos cincuenta millones con 00/100), en el marco de la Administración de Fondos por el Resarcimiento de los daños de la promoción industrial a través del aporte de fondos al “Fideicomiso de Administración y Pago para la Ejecución de Aprovechamiento Hídrico Portezuelo del Viento</w:t>
      </w:r>
      <w:r w:rsidRPr="00B84B51">
        <w:rPr>
          <w:rFonts w:ascii="Verdana" w:hAnsi="Verdana"/>
        </w:rPr>
        <w:t>”.</w:t>
      </w:r>
    </w:p>
    <w:p w:rsidR="00665CF5" w:rsidRDefault="00665CF5" w:rsidP="00665CF5">
      <w:pPr>
        <w:pStyle w:val="Prrafodelista"/>
        <w:spacing w:line="360" w:lineRule="auto"/>
        <w:ind w:left="786"/>
        <w:jc w:val="both"/>
        <w:rPr>
          <w:rFonts w:ascii="Verdana" w:hAnsi="Verdana"/>
        </w:rPr>
      </w:pPr>
    </w:p>
    <w:p w:rsidR="00665CF5" w:rsidRDefault="00665CF5" w:rsidP="00B84B51">
      <w:pPr>
        <w:pStyle w:val="Prrafodelista"/>
        <w:spacing w:line="360" w:lineRule="auto"/>
        <w:ind w:left="1146"/>
        <w:jc w:val="both"/>
        <w:rPr>
          <w:rFonts w:ascii="Verdana" w:hAnsi="Verdana"/>
        </w:rPr>
      </w:pPr>
      <w:r w:rsidRPr="00665CF5">
        <w:rPr>
          <w:rFonts w:ascii="Verdana" w:hAnsi="Verdana" w:cs="Arial"/>
        </w:rPr>
        <w:t xml:space="preserve">Convenio firmado entre </w:t>
      </w:r>
      <w:r w:rsidR="00B84B51">
        <w:rPr>
          <w:rFonts w:ascii="Verdana" w:hAnsi="Verdana" w:cs="Arial"/>
        </w:rPr>
        <w:t>la Administración Tributaria Mendoza</w:t>
      </w:r>
      <w:r w:rsidRPr="00665CF5">
        <w:rPr>
          <w:rFonts w:ascii="Verdana" w:hAnsi="Verdana" w:cs="Arial"/>
        </w:rPr>
        <w:t xml:space="preserve"> y el Ministerio de Hacienda y Finanzas, aprobado por </w:t>
      </w:r>
      <w:r w:rsidR="00B84B51">
        <w:rPr>
          <w:rFonts w:ascii="Verdana" w:hAnsi="Verdana" w:cs="Arial"/>
        </w:rPr>
        <w:t xml:space="preserve">Adenda </w:t>
      </w:r>
      <w:r w:rsidRPr="00665CF5">
        <w:rPr>
          <w:rFonts w:ascii="Verdana" w:hAnsi="Verdana" w:cs="Arial"/>
        </w:rPr>
        <w:t xml:space="preserve">Decreto </w:t>
      </w:r>
      <w:r w:rsidR="00207868">
        <w:rPr>
          <w:rFonts w:ascii="Verdana" w:hAnsi="Verdana" w:cs="Arial"/>
        </w:rPr>
        <w:t>N°</w:t>
      </w:r>
      <w:r w:rsidRPr="00665CF5">
        <w:rPr>
          <w:rFonts w:ascii="Verdana" w:hAnsi="Verdana" w:cs="Arial"/>
        </w:rPr>
        <w:t xml:space="preserve"> </w:t>
      </w:r>
      <w:r w:rsidR="00B84B51">
        <w:rPr>
          <w:rFonts w:ascii="Verdana" w:hAnsi="Verdana" w:cs="Arial"/>
        </w:rPr>
        <w:t>245</w:t>
      </w:r>
      <w:r w:rsidR="00207868">
        <w:rPr>
          <w:rFonts w:ascii="Verdana" w:hAnsi="Verdana" w:cs="Arial"/>
        </w:rPr>
        <w:t>/</w:t>
      </w:r>
      <w:r w:rsidRPr="00665CF5">
        <w:rPr>
          <w:rFonts w:ascii="Verdana" w:hAnsi="Verdana" w:cs="Arial"/>
        </w:rPr>
        <w:t xml:space="preserve">2025 por </w:t>
      </w:r>
      <w:r w:rsidRPr="00665CF5">
        <w:rPr>
          <w:rFonts w:ascii="Verdana" w:hAnsi="Verdana" w:cs="Arial"/>
          <w:b/>
        </w:rPr>
        <w:t>$</w:t>
      </w:r>
      <w:r w:rsidR="00B84B51">
        <w:rPr>
          <w:rFonts w:ascii="Verdana" w:hAnsi="Verdana" w:cs="Arial"/>
          <w:b/>
        </w:rPr>
        <w:t>40</w:t>
      </w:r>
      <w:r w:rsidRPr="00665CF5">
        <w:rPr>
          <w:rFonts w:ascii="Verdana" w:hAnsi="Verdana" w:cs="Arial"/>
          <w:b/>
        </w:rPr>
        <w:t>.000.000,00</w:t>
      </w:r>
      <w:r w:rsidRPr="00665CF5">
        <w:rPr>
          <w:rFonts w:ascii="Verdana" w:hAnsi="Verdana" w:cs="Arial"/>
        </w:rPr>
        <w:t xml:space="preserve"> (Pesos </w:t>
      </w:r>
      <w:r w:rsidR="00B84B51">
        <w:rPr>
          <w:rFonts w:ascii="Verdana" w:hAnsi="Verdana" w:cs="Arial"/>
        </w:rPr>
        <w:t xml:space="preserve">cuarenta </w:t>
      </w:r>
      <w:r w:rsidRPr="00665CF5">
        <w:rPr>
          <w:rFonts w:ascii="Verdana" w:hAnsi="Verdana" w:cs="Arial"/>
        </w:rPr>
        <w:t xml:space="preserve">millones con 00/100), en el marco del plan de modernización de sistemas </w:t>
      </w:r>
      <w:r w:rsidR="00B84B51">
        <w:rPr>
          <w:rFonts w:ascii="Verdana" w:hAnsi="Verdana" w:cs="Arial"/>
        </w:rPr>
        <w:t>ATM</w:t>
      </w:r>
      <w:r w:rsidRPr="00665CF5">
        <w:rPr>
          <w:rFonts w:ascii="Verdana" w:hAnsi="Verdana" w:cs="Arial"/>
        </w:rPr>
        <w:t xml:space="preserve"> a través del aporte de fondos al “Fideicomiso de Administración para la Conectividad para el Desarrollo Productivo de la Provincia de Mendoza</w:t>
      </w:r>
      <w:r w:rsidRPr="00665CF5">
        <w:rPr>
          <w:rFonts w:ascii="Verdana" w:hAnsi="Verdana"/>
        </w:rPr>
        <w:t>”.</w:t>
      </w:r>
    </w:p>
    <w:p w:rsidR="00B84B51" w:rsidRPr="00B84B51" w:rsidRDefault="00B84B51" w:rsidP="00B84B51">
      <w:pPr>
        <w:pStyle w:val="Prrafodelista"/>
        <w:spacing w:line="360" w:lineRule="auto"/>
        <w:ind w:left="1146"/>
        <w:jc w:val="both"/>
        <w:rPr>
          <w:rFonts w:ascii="Verdana" w:hAnsi="Verdana"/>
        </w:rPr>
      </w:pPr>
    </w:p>
    <w:p w:rsidR="001B234B" w:rsidRDefault="00933A56" w:rsidP="00665CF5">
      <w:pPr>
        <w:pStyle w:val="Prrafodelista"/>
        <w:numPr>
          <w:ilvl w:val="0"/>
          <w:numId w:val="9"/>
        </w:numPr>
        <w:spacing w:line="360" w:lineRule="auto"/>
        <w:ind w:left="786"/>
        <w:jc w:val="both"/>
        <w:rPr>
          <w:rFonts w:ascii="Verdana" w:hAnsi="Verdana" w:cstheme="minorHAnsi"/>
          <w:color w:val="000000" w:themeColor="text1"/>
        </w:rPr>
      </w:pPr>
      <w:r w:rsidRPr="00665CF5">
        <w:rPr>
          <w:rFonts w:ascii="Verdana" w:hAnsi="Verdana" w:cstheme="minorHAnsi"/>
          <w:b/>
          <w:color w:val="000000" w:themeColor="text1"/>
        </w:rPr>
        <w:t xml:space="preserve"> </w:t>
      </w:r>
      <w:r w:rsidR="001B234B" w:rsidRPr="00665CF5">
        <w:rPr>
          <w:rFonts w:ascii="Verdana" w:hAnsi="Verdana" w:cstheme="minorHAnsi"/>
          <w:b/>
          <w:color w:val="000000" w:themeColor="text1"/>
        </w:rPr>
        <w:t>Erogaciones de Capital (Otros aportes a municipios 55205)</w:t>
      </w:r>
      <w:r w:rsidR="001B234B" w:rsidRPr="00665CF5">
        <w:rPr>
          <w:rFonts w:ascii="Verdana" w:hAnsi="Verdana" w:cstheme="minorHAnsi"/>
          <w:color w:val="000000" w:themeColor="text1"/>
        </w:rPr>
        <w:t xml:space="preserve"> en este trimestre se ha ejecutado un total de $</w:t>
      </w:r>
      <w:r w:rsidR="00486A1F">
        <w:rPr>
          <w:rFonts w:ascii="Verdana" w:hAnsi="Verdana" w:cstheme="minorHAnsi"/>
          <w:color w:val="000000" w:themeColor="text1"/>
        </w:rPr>
        <w:t>776.308.857,11</w:t>
      </w:r>
      <w:r w:rsidR="001B234B" w:rsidRPr="00665CF5">
        <w:rPr>
          <w:rFonts w:ascii="Verdana" w:hAnsi="Verdana" w:cstheme="minorHAnsi"/>
          <w:color w:val="000000" w:themeColor="text1"/>
        </w:rPr>
        <w:t>(pesos</w:t>
      </w:r>
      <w:r w:rsidR="00DB1D19" w:rsidRPr="00665CF5">
        <w:rPr>
          <w:rFonts w:ascii="Verdana" w:hAnsi="Verdana" w:cstheme="minorHAnsi"/>
          <w:color w:val="000000" w:themeColor="text1"/>
        </w:rPr>
        <w:t xml:space="preserve"> </w:t>
      </w:r>
      <w:r w:rsidR="00486A1F" w:rsidRPr="00486A1F">
        <w:rPr>
          <w:rFonts w:ascii="Verdana" w:hAnsi="Verdana"/>
        </w:rPr>
        <w:t xml:space="preserve">Setecientos setenta y seis millones trescientos ocho mil ochocientos cincuenta y siete con </w:t>
      </w:r>
      <w:r w:rsidR="00486A1F">
        <w:rPr>
          <w:rFonts w:ascii="Verdana" w:hAnsi="Verdana"/>
        </w:rPr>
        <w:t>11/100)</w:t>
      </w:r>
      <w:r w:rsidR="00486A1F">
        <w:t>.</w:t>
      </w:r>
      <w:r w:rsidR="001B234B" w:rsidRPr="00665CF5">
        <w:rPr>
          <w:rFonts w:ascii="Verdana" w:hAnsi="Verdana" w:cstheme="minorHAnsi"/>
          <w:color w:val="000000" w:themeColor="text1"/>
        </w:rPr>
        <w:t xml:space="preserve">; que corresponde </w:t>
      </w:r>
      <w:r w:rsidR="001B234B" w:rsidRPr="00665CF5">
        <w:rPr>
          <w:rFonts w:ascii="Verdana" w:hAnsi="Verdana" w:cstheme="minorHAnsi"/>
        </w:rPr>
        <w:t xml:space="preserve">a Aporte No Reembolsable (ANR) otorgado a los siguientes Municipios: </w:t>
      </w:r>
      <w:proofErr w:type="spellStart"/>
      <w:r w:rsidR="001B234B" w:rsidRPr="00665CF5">
        <w:rPr>
          <w:rFonts w:ascii="Verdana" w:hAnsi="Verdana" w:cstheme="minorHAnsi"/>
        </w:rPr>
        <w:t>Guaymall</w:t>
      </w:r>
      <w:r w:rsidR="00DB1D19" w:rsidRPr="00665CF5">
        <w:rPr>
          <w:rFonts w:ascii="Verdana" w:hAnsi="Verdana" w:cstheme="minorHAnsi"/>
        </w:rPr>
        <w:t>é</w:t>
      </w:r>
      <w:r w:rsidR="001B234B" w:rsidRPr="00665CF5">
        <w:rPr>
          <w:rFonts w:ascii="Verdana" w:hAnsi="Verdana" w:cstheme="minorHAnsi"/>
        </w:rPr>
        <w:t>n</w:t>
      </w:r>
      <w:proofErr w:type="spellEnd"/>
      <w:r w:rsidR="001B234B" w:rsidRPr="00665CF5">
        <w:rPr>
          <w:rFonts w:ascii="Verdana" w:hAnsi="Verdana" w:cstheme="minorHAnsi"/>
        </w:rPr>
        <w:t xml:space="preserve"> ($</w:t>
      </w:r>
      <w:r w:rsidR="00486A1F">
        <w:rPr>
          <w:rFonts w:ascii="Verdana" w:hAnsi="Verdana" w:cstheme="minorHAnsi"/>
        </w:rPr>
        <w:t>210.953.905,96</w:t>
      </w:r>
      <w:r w:rsidR="001B234B" w:rsidRPr="00665CF5">
        <w:rPr>
          <w:rFonts w:ascii="Verdana" w:hAnsi="Verdana" w:cstheme="minorHAnsi"/>
        </w:rPr>
        <w:t xml:space="preserve">), </w:t>
      </w:r>
      <w:r w:rsidR="00DB1D19" w:rsidRPr="00665CF5">
        <w:rPr>
          <w:rFonts w:ascii="Verdana" w:hAnsi="Verdana" w:cstheme="minorHAnsi"/>
        </w:rPr>
        <w:t>Lavalle</w:t>
      </w:r>
      <w:r w:rsidR="001B234B" w:rsidRPr="00665CF5">
        <w:rPr>
          <w:rFonts w:ascii="Verdana" w:hAnsi="Verdana" w:cstheme="minorHAnsi"/>
        </w:rPr>
        <w:t xml:space="preserve"> ($</w:t>
      </w:r>
      <w:r w:rsidR="00486A1F">
        <w:rPr>
          <w:rFonts w:ascii="Verdana" w:hAnsi="Verdana" w:cstheme="minorHAnsi"/>
        </w:rPr>
        <w:t>83.306.006,89</w:t>
      </w:r>
      <w:r w:rsidR="00207868">
        <w:rPr>
          <w:rFonts w:ascii="Verdana" w:hAnsi="Verdana" w:cstheme="minorHAnsi"/>
        </w:rPr>
        <w:t xml:space="preserve">), </w:t>
      </w:r>
      <w:r w:rsidR="001B234B" w:rsidRPr="00665CF5">
        <w:rPr>
          <w:rFonts w:ascii="Verdana" w:hAnsi="Verdana" w:cstheme="minorHAnsi"/>
        </w:rPr>
        <w:t>San Rafael ($</w:t>
      </w:r>
      <w:r w:rsidR="00486A1F">
        <w:rPr>
          <w:rFonts w:ascii="Verdana" w:hAnsi="Verdana" w:cstheme="minorHAnsi"/>
        </w:rPr>
        <w:t>158.555.750</w:t>
      </w:r>
      <w:r w:rsidR="00B6759A">
        <w:rPr>
          <w:rFonts w:ascii="Verdana" w:hAnsi="Verdana" w:cstheme="minorHAnsi"/>
        </w:rPr>
        <w:t>,65</w:t>
      </w:r>
      <w:r w:rsidR="001B234B" w:rsidRPr="00665CF5">
        <w:rPr>
          <w:rFonts w:ascii="Verdana" w:hAnsi="Verdana" w:cstheme="minorHAnsi"/>
        </w:rPr>
        <w:t>)</w:t>
      </w:r>
      <w:r w:rsidR="00207868">
        <w:rPr>
          <w:rFonts w:ascii="Verdana" w:hAnsi="Verdana" w:cstheme="minorHAnsi"/>
        </w:rPr>
        <w:t>,</w:t>
      </w:r>
      <w:r w:rsidR="00B6759A">
        <w:rPr>
          <w:rFonts w:ascii="Verdana" w:hAnsi="Verdana" w:cstheme="minorHAnsi"/>
        </w:rPr>
        <w:t xml:space="preserve"> </w:t>
      </w:r>
      <w:r w:rsidR="00217351">
        <w:rPr>
          <w:rFonts w:ascii="Verdana" w:hAnsi="Verdana" w:cstheme="minorHAnsi"/>
        </w:rPr>
        <w:t>Junín</w:t>
      </w:r>
      <w:r w:rsidR="00B6759A">
        <w:rPr>
          <w:rFonts w:ascii="Verdana" w:hAnsi="Verdana" w:cstheme="minorHAnsi"/>
        </w:rPr>
        <w:t xml:space="preserve"> ($48.347.233,61) y  Lujan de Cuyo </w:t>
      </w:r>
      <w:r w:rsidR="00B6759A">
        <w:rPr>
          <w:rFonts w:ascii="Verdana" w:hAnsi="Verdana" w:cstheme="minorHAnsi"/>
        </w:rPr>
        <w:lastRenderedPageBreak/>
        <w:t>(275.145.959,98)</w:t>
      </w:r>
      <w:r w:rsidR="001B234B" w:rsidRPr="00665CF5">
        <w:rPr>
          <w:rFonts w:ascii="Verdana" w:hAnsi="Verdana" w:cstheme="minorHAnsi"/>
        </w:rPr>
        <w:t xml:space="preserve"> </w:t>
      </w:r>
      <w:r w:rsidR="001B234B" w:rsidRPr="00665CF5">
        <w:rPr>
          <w:rFonts w:ascii="Verdana" w:hAnsi="Verdana" w:cstheme="minorHAnsi"/>
          <w:color w:val="000000" w:themeColor="text1"/>
        </w:rPr>
        <w:t xml:space="preserve">en el marco de lo dispuesto por el </w:t>
      </w:r>
      <w:r w:rsidR="00F618D3" w:rsidRPr="00665CF5">
        <w:rPr>
          <w:rFonts w:ascii="Verdana" w:hAnsi="Verdana" w:cstheme="minorHAnsi"/>
          <w:color w:val="000000" w:themeColor="text1"/>
        </w:rPr>
        <w:t>Decret</w:t>
      </w:r>
      <w:r w:rsidR="009B55F0" w:rsidRPr="00665CF5">
        <w:rPr>
          <w:rFonts w:ascii="Verdana" w:hAnsi="Verdana" w:cstheme="minorHAnsi"/>
          <w:color w:val="000000" w:themeColor="text1"/>
        </w:rPr>
        <w:t xml:space="preserve">o Nº 1.677/2024 que </w:t>
      </w:r>
      <w:r w:rsidR="00F618D3" w:rsidRPr="00665CF5">
        <w:rPr>
          <w:rFonts w:ascii="Verdana" w:hAnsi="Verdana" w:cstheme="minorHAnsi"/>
          <w:color w:val="000000" w:themeColor="text1"/>
        </w:rPr>
        <w:t>reglamenta</w:t>
      </w:r>
      <w:r w:rsidR="009B55F0" w:rsidRPr="00665CF5">
        <w:rPr>
          <w:rFonts w:ascii="Verdana" w:hAnsi="Verdana" w:cstheme="minorHAnsi"/>
          <w:color w:val="000000" w:themeColor="text1"/>
        </w:rPr>
        <w:t xml:space="preserve"> </w:t>
      </w:r>
      <w:r w:rsidR="00F618D3" w:rsidRPr="00665CF5">
        <w:rPr>
          <w:rFonts w:ascii="Verdana" w:hAnsi="Verdana" w:cstheme="minorHAnsi"/>
          <w:color w:val="000000" w:themeColor="text1"/>
        </w:rPr>
        <w:t>el Artículo 48 de la Ley Nº 9.497.</w:t>
      </w:r>
    </w:p>
    <w:p w:rsidR="009667F9" w:rsidRPr="00207868" w:rsidRDefault="00933A56" w:rsidP="00207868">
      <w:pPr>
        <w:pStyle w:val="Prrafodelista"/>
        <w:numPr>
          <w:ilvl w:val="0"/>
          <w:numId w:val="9"/>
        </w:numPr>
        <w:spacing w:line="360" w:lineRule="auto"/>
        <w:ind w:left="786"/>
        <w:jc w:val="both"/>
        <w:rPr>
          <w:rFonts w:ascii="Verdana" w:hAnsi="Verdana" w:cstheme="minorHAnsi"/>
          <w:color w:val="000000" w:themeColor="text1"/>
        </w:rPr>
      </w:pPr>
      <w:r w:rsidRPr="00207868">
        <w:rPr>
          <w:rFonts w:ascii="Verdana" w:hAnsi="Verdana" w:cstheme="minorHAnsi"/>
          <w:b/>
          <w:color w:val="000000" w:themeColor="text1"/>
        </w:rPr>
        <w:t xml:space="preserve"> </w:t>
      </w:r>
      <w:r w:rsidR="009667F9" w:rsidRPr="00207868">
        <w:rPr>
          <w:rFonts w:ascii="Verdana" w:hAnsi="Verdana" w:cstheme="minorHAnsi"/>
          <w:b/>
          <w:color w:val="000000" w:themeColor="text1"/>
        </w:rPr>
        <w:t>Erogaciones de Capital ( Prestamos a municipios 52200)</w:t>
      </w:r>
      <w:r w:rsidR="009667F9" w:rsidRPr="00207868">
        <w:rPr>
          <w:rFonts w:ascii="Verdana" w:hAnsi="Verdana" w:cstheme="minorHAnsi"/>
        </w:rPr>
        <w:t xml:space="preserve"> </w:t>
      </w:r>
      <w:r w:rsidR="00731647" w:rsidRPr="00207868">
        <w:rPr>
          <w:rFonts w:ascii="Verdana" w:hAnsi="Verdana" w:cstheme="minorHAnsi"/>
        </w:rPr>
        <w:t xml:space="preserve">en este trimestre se ha ejecutado un total de </w:t>
      </w:r>
      <w:r w:rsidR="00731647" w:rsidRPr="00207868">
        <w:rPr>
          <w:rFonts w:ascii="Verdana" w:hAnsi="Verdana" w:cstheme="minorHAnsi"/>
        </w:rPr>
        <w:t>$</w:t>
      </w:r>
      <w:r w:rsidR="00731647" w:rsidRPr="00207868">
        <w:rPr>
          <w:rFonts w:ascii="Verdana" w:hAnsi="Verdana" w:cstheme="minorHAnsi"/>
        </w:rPr>
        <w:t xml:space="preserve">258.710.165,08 explicado por los préstamos otorgados al Municipio de </w:t>
      </w:r>
      <w:proofErr w:type="spellStart"/>
      <w:r w:rsidR="00731647" w:rsidRPr="00207868">
        <w:rPr>
          <w:rFonts w:ascii="Verdana" w:hAnsi="Verdana" w:cstheme="minorHAnsi"/>
        </w:rPr>
        <w:t>Guaymallén</w:t>
      </w:r>
      <w:proofErr w:type="spellEnd"/>
      <w:r w:rsidR="00731647" w:rsidRPr="00207868">
        <w:rPr>
          <w:rFonts w:ascii="Verdana" w:hAnsi="Verdana" w:cstheme="minorHAnsi"/>
        </w:rPr>
        <w:t>, en e</w:t>
      </w:r>
      <w:r w:rsidR="00207868">
        <w:rPr>
          <w:rFonts w:ascii="Verdana" w:hAnsi="Verdana" w:cstheme="minorHAnsi"/>
        </w:rPr>
        <w:t>l marco de lo dispuesto por el A</w:t>
      </w:r>
      <w:r w:rsidR="00731647" w:rsidRPr="00207868">
        <w:rPr>
          <w:rFonts w:ascii="Verdana" w:hAnsi="Verdana" w:cstheme="minorHAnsi"/>
        </w:rPr>
        <w:t>rt. 48 de la Ley Nº 9.497, Decreto Nº 1677/24.</w:t>
      </w:r>
      <w:r w:rsidR="009667F9" w:rsidRPr="00207868">
        <w:rPr>
          <w:rFonts w:ascii="Verdana" w:hAnsi="Verdana" w:cstheme="minorHAnsi"/>
        </w:rPr>
        <w:t xml:space="preserve"> La presente </w:t>
      </w:r>
      <w:r w:rsidR="009667F9" w:rsidRPr="00207868">
        <w:rPr>
          <w:rFonts w:ascii="Verdana" w:hAnsi="Verdana"/>
        </w:rPr>
        <w:t xml:space="preserve">Información surge del CUC 020 suministrada por la </w:t>
      </w:r>
      <w:r w:rsidR="009667F9" w:rsidRPr="00207868">
        <w:rPr>
          <w:rFonts w:ascii="Verdana" w:hAnsi="Verdana"/>
          <w:color w:val="000000"/>
        </w:rPr>
        <w:t>Dirección  General de Crédito al Sector Público.</w:t>
      </w:r>
    </w:p>
    <w:p w:rsidR="00217351" w:rsidRPr="00217351" w:rsidRDefault="00217351" w:rsidP="00217351">
      <w:pPr>
        <w:pStyle w:val="Prrafodelista"/>
        <w:spacing w:line="360" w:lineRule="auto"/>
        <w:ind w:left="786"/>
        <w:jc w:val="both"/>
        <w:rPr>
          <w:rFonts w:ascii="Verdana" w:hAnsi="Verdana" w:cstheme="minorHAnsi"/>
          <w:color w:val="000000" w:themeColor="text1"/>
        </w:rPr>
      </w:pPr>
    </w:p>
    <w:p w:rsidR="0046192B" w:rsidRDefault="00136061" w:rsidP="00E72817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E72817">
        <w:rPr>
          <w:rFonts w:ascii="Verdana" w:hAnsi="Verdana"/>
        </w:rPr>
        <w:t xml:space="preserve">En </w:t>
      </w:r>
      <w:r w:rsidRPr="00E72817">
        <w:rPr>
          <w:rFonts w:ascii="Verdana" w:hAnsi="Verdana"/>
          <w:b/>
          <w:u w:val="single"/>
        </w:rPr>
        <w:t>Recursos Figurativos:</w:t>
      </w:r>
      <w:r w:rsidRPr="00E72817">
        <w:rPr>
          <w:rFonts w:ascii="Verdana" w:hAnsi="Verdana"/>
          <w:b/>
        </w:rPr>
        <w:t xml:space="preserve"> </w:t>
      </w:r>
      <w:r w:rsidR="001E0BA7" w:rsidRPr="00E72817">
        <w:rPr>
          <w:rFonts w:ascii="Verdana" w:hAnsi="Verdana"/>
        </w:rPr>
        <w:t xml:space="preserve">Con respecto </w:t>
      </w:r>
      <w:r w:rsidR="00731647">
        <w:rPr>
          <w:rFonts w:ascii="Verdana" w:hAnsi="Verdana"/>
        </w:rPr>
        <w:t>a este Recurso Figurativo en el presente trimestre no se han ejecutado los mismos.</w:t>
      </w:r>
      <w:r w:rsidR="003722E0" w:rsidRPr="00E72817">
        <w:rPr>
          <w:rFonts w:ascii="Verdana" w:hAnsi="Verdana"/>
        </w:rPr>
        <w:t xml:space="preserve"> El ingreso del Recurso  debe analizarse a nivel global en la Administración</w:t>
      </w:r>
      <w:r w:rsidR="00B25BFC" w:rsidRPr="00E72817">
        <w:rPr>
          <w:rFonts w:ascii="Verdana" w:hAnsi="Verdana"/>
        </w:rPr>
        <w:t xml:space="preserve"> Central</w:t>
      </w:r>
      <w:r w:rsidR="003722E0" w:rsidRPr="00E72817">
        <w:rPr>
          <w:rFonts w:ascii="Verdana" w:hAnsi="Verdana"/>
        </w:rPr>
        <w:t xml:space="preserve">.  </w:t>
      </w:r>
    </w:p>
    <w:p w:rsidR="00346CA3" w:rsidRPr="00E72817" w:rsidRDefault="003722E0" w:rsidP="0046192B">
      <w:pPr>
        <w:spacing w:line="360" w:lineRule="auto"/>
        <w:ind w:left="644"/>
        <w:jc w:val="both"/>
        <w:rPr>
          <w:rFonts w:ascii="Verdana" w:hAnsi="Verdana"/>
        </w:rPr>
      </w:pPr>
      <w:r w:rsidRPr="00E72817">
        <w:rPr>
          <w:rFonts w:ascii="Verdana" w:hAnsi="Verdana"/>
        </w:rPr>
        <w:t xml:space="preserve">               </w:t>
      </w:r>
      <w:r w:rsidR="00136061" w:rsidRPr="00E72817">
        <w:rPr>
          <w:rFonts w:ascii="Verdana" w:hAnsi="Verdana"/>
        </w:rPr>
        <w:t xml:space="preserve"> </w:t>
      </w:r>
    </w:p>
    <w:p w:rsidR="003B1388" w:rsidRPr="00217351" w:rsidRDefault="00136061" w:rsidP="00E72817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  <w:u w:color="FFFFFF" w:themeColor="background1"/>
        </w:rPr>
      </w:pPr>
      <w:r w:rsidRPr="00E72817">
        <w:rPr>
          <w:rFonts w:ascii="Verdana" w:hAnsi="Verdana"/>
        </w:rPr>
        <w:t xml:space="preserve">En </w:t>
      </w:r>
      <w:r w:rsidRPr="00E72817">
        <w:rPr>
          <w:rFonts w:ascii="Verdana" w:hAnsi="Verdana"/>
          <w:b/>
          <w:u w:val="single"/>
        </w:rPr>
        <w:t>Gastos Figurativos:</w:t>
      </w:r>
      <w:r w:rsidR="00606D2B" w:rsidRPr="00E72817">
        <w:rPr>
          <w:rFonts w:ascii="Verdana" w:hAnsi="Verdana"/>
          <w:b/>
          <w:u w:val="single"/>
        </w:rPr>
        <w:t xml:space="preserve"> </w:t>
      </w:r>
      <w:r w:rsidR="003722E0" w:rsidRPr="00E72817">
        <w:rPr>
          <w:rFonts w:ascii="Verdana" w:hAnsi="Verdana"/>
        </w:rPr>
        <w:t xml:space="preserve">El gasto figurativo </w:t>
      </w:r>
      <w:r w:rsidR="0040796A" w:rsidRPr="00E72817">
        <w:rPr>
          <w:rFonts w:ascii="Verdana" w:hAnsi="Verdana"/>
        </w:rPr>
        <w:t xml:space="preserve"> ($ </w:t>
      </w:r>
      <w:r w:rsidR="006D5E78">
        <w:rPr>
          <w:rFonts w:ascii="Verdana" w:hAnsi="Verdana"/>
        </w:rPr>
        <w:t>482.487</w:t>
      </w:r>
      <w:r w:rsidR="00207868">
        <w:rPr>
          <w:rFonts w:ascii="Verdana" w:hAnsi="Verdana"/>
        </w:rPr>
        <w:t>.</w:t>
      </w:r>
      <w:r w:rsidR="006D5E78">
        <w:rPr>
          <w:rFonts w:ascii="Verdana" w:hAnsi="Verdana"/>
        </w:rPr>
        <w:t>514.691,33</w:t>
      </w:r>
      <w:r w:rsidR="0040796A" w:rsidRPr="00E72817">
        <w:rPr>
          <w:rFonts w:ascii="Verdana" w:hAnsi="Verdana"/>
        </w:rPr>
        <w:t xml:space="preserve">) </w:t>
      </w:r>
      <w:r w:rsidR="003722E0" w:rsidRPr="00E72817">
        <w:rPr>
          <w:rFonts w:ascii="Verdana" w:hAnsi="Verdana"/>
        </w:rPr>
        <w:t xml:space="preserve">es mayor al </w:t>
      </w:r>
      <w:r w:rsidR="00B25BFC" w:rsidRPr="00E72817">
        <w:rPr>
          <w:rFonts w:ascii="Verdana" w:hAnsi="Verdana"/>
        </w:rPr>
        <w:t>programado</w:t>
      </w:r>
      <w:r w:rsidR="0040796A" w:rsidRPr="00E72817">
        <w:rPr>
          <w:rFonts w:ascii="Verdana" w:hAnsi="Verdana"/>
        </w:rPr>
        <w:t xml:space="preserve"> </w:t>
      </w:r>
      <w:r w:rsidR="006349A0" w:rsidRPr="00E72817">
        <w:rPr>
          <w:rFonts w:ascii="Verdana" w:hAnsi="Verdana"/>
        </w:rPr>
        <w:t>(</w:t>
      </w:r>
      <w:r w:rsidR="00A66E77" w:rsidRPr="00E72817">
        <w:rPr>
          <w:rFonts w:ascii="Verdana" w:hAnsi="Verdana"/>
        </w:rPr>
        <w:t>$</w:t>
      </w:r>
      <w:r w:rsidR="006D5E78">
        <w:rPr>
          <w:rFonts w:ascii="Verdana" w:hAnsi="Verdana"/>
        </w:rPr>
        <w:t>402.004.883.612,00</w:t>
      </w:r>
      <w:r w:rsidR="0040796A" w:rsidRPr="00E72817">
        <w:rPr>
          <w:rFonts w:ascii="Verdana" w:hAnsi="Verdana"/>
        </w:rPr>
        <w:t>)</w:t>
      </w:r>
      <w:r w:rsidR="003722E0" w:rsidRPr="00E72817">
        <w:rPr>
          <w:rFonts w:ascii="Verdana" w:hAnsi="Verdana"/>
        </w:rPr>
        <w:t>, el análisis del presente gasto s</w:t>
      </w:r>
      <w:r w:rsidR="003722E0" w:rsidRPr="00E72817">
        <w:rPr>
          <w:rFonts w:ascii="Verdana" w:hAnsi="Verdana"/>
          <w:u w:val="single" w:color="FFFFFF" w:themeColor="background1"/>
        </w:rPr>
        <w:t xml:space="preserve">e realiza a </w:t>
      </w:r>
      <w:r w:rsidR="003722E0" w:rsidRPr="00E72817">
        <w:rPr>
          <w:rFonts w:ascii="Verdana" w:hAnsi="Verdana"/>
        </w:rPr>
        <w:t>nivel global en la Administración Central.</w:t>
      </w:r>
      <w:r w:rsidR="003722E0" w:rsidRPr="00E72817">
        <w:rPr>
          <w:rFonts w:ascii="Verdana" w:hAnsi="Verdana"/>
          <w:u w:val="single" w:color="FFFFFF" w:themeColor="background1"/>
        </w:rPr>
        <w:t xml:space="preserve"> </w:t>
      </w:r>
    </w:p>
    <w:p w:rsidR="00217351" w:rsidRDefault="00217351" w:rsidP="00217351">
      <w:pPr>
        <w:pStyle w:val="Prrafodelista"/>
        <w:rPr>
          <w:rFonts w:ascii="Verdana" w:hAnsi="Verdana"/>
          <w:u w:color="FFFFFF" w:themeColor="background1"/>
        </w:rPr>
      </w:pPr>
    </w:p>
    <w:p w:rsidR="00BB5BE8" w:rsidRPr="00207868" w:rsidRDefault="00136061" w:rsidP="00217351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  <w:u w:color="FFFFFF" w:themeColor="background1"/>
        </w:rPr>
      </w:pPr>
      <w:r w:rsidRPr="00217351">
        <w:rPr>
          <w:rFonts w:ascii="Verdana" w:hAnsi="Verdana"/>
        </w:rPr>
        <w:t xml:space="preserve">En </w:t>
      </w:r>
      <w:r w:rsidRPr="00217351">
        <w:rPr>
          <w:rFonts w:ascii="Verdana" w:hAnsi="Verdana"/>
          <w:b/>
          <w:u w:val="single"/>
        </w:rPr>
        <w:t>Fuentes de Financiamiento:</w:t>
      </w:r>
      <w:r w:rsidR="003722E0" w:rsidRPr="00217351">
        <w:rPr>
          <w:rFonts w:ascii="Verdana" w:hAnsi="Verdana"/>
          <w:b/>
        </w:rPr>
        <w:t xml:space="preserve"> </w:t>
      </w:r>
      <w:r w:rsidR="00055369" w:rsidRPr="00217351">
        <w:rPr>
          <w:rFonts w:ascii="Verdana" w:hAnsi="Verdana"/>
        </w:rPr>
        <w:t>El ingreso de la fuente de financiamiento se analiza a nivel global en la Administración Central</w:t>
      </w:r>
      <w:r w:rsidR="00055369" w:rsidRPr="00217351">
        <w:rPr>
          <w:rFonts w:ascii="Verdana" w:hAnsi="Verdana"/>
          <w:color w:val="000000" w:themeColor="text1"/>
        </w:rPr>
        <w:t xml:space="preserve"> (No obstante en la programación figura cero).</w:t>
      </w:r>
    </w:p>
    <w:p w:rsidR="00207868" w:rsidRDefault="00207868" w:rsidP="00207868">
      <w:pPr>
        <w:pStyle w:val="Prrafodelista"/>
        <w:rPr>
          <w:rFonts w:ascii="Verdana" w:hAnsi="Verdana"/>
          <w:u w:color="FFFFFF" w:themeColor="background1"/>
        </w:rPr>
      </w:pPr>
    </w:p>
    <w:p w:rsidR="00207868" w:rsidRPr="00207868" w:rsidRDefault="00B33656" w:rsidP="00207868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  <w:u w:color="FFFFFF" w:themeColor="background1"/>
        </w:rPr>
      </w:pPr>
      <w:r w:rsidRPr="00207868">
        <w:rPr>
          <w:rFonts w:ascii="Verdana" w:hAnsi="Verdana"/>
          <w:color w:val="000000"/>
        </w:rPr>
        <w:t xml:space="preserve">En las </w:t>
      </w:r>
      <w:r w:rsidRPr="00207868">
        <w:rPr>
          <w:rFonts w:ascii="Verdana" w:hAnsi="Verdana"/>
          <w:b/>
          <w:color w:val="000000"/>
          <w:u w:val="single"/>
        </w:rPr>
        <w:t>Aplicaciones Financieras:</w:t>
      </w:r>
      <w:r w:rsidRPr="00207868">
        <w:rPr>
          <w:rFonts w:ascii="Verdana" w:hAnsi="Verdana"/>
          <w:color w:val="000000"/>
        </w:rPr>
        <w:t xml:space="preserve">   Se observa </w:t>
      </w:r>
      <w:r w:rsidR="00A63129" w:rsidRPr="00207868">
        <w:rPr>
          <w:rFonts w:ascii="Verdana" w:hAnsi="Verdana"/>
          <w:color w:val="000000"/>
        </w:rPr>
        <w:t xml:space="preserve">que </w:t>
      </w:r>
      <w:r w:rsidR="00CB5723" w:rsidRPr="00207868">
        <w:rPr>
          <w:rFonts w:ascii="Verdana" w:hAnsi="Verdana"/>
          <w:color w:val="000000"/>
        </w:rPr>
        <w:t xml:space="preserve">el </w:t>
      </w:r>
      <w:r w:rsidRPr="00207868">
        <w:rPr>
          <w:rFonts w:ascii="Verdana" w:hAnsi="Verdana"/>
          <w:color w:val="000000"/>
        </w:rPr>
        <w:t xml:space="preserve"> devengado</w:t>
      </w:r>
      <w:r w:rsidR="004B3C27" w:rsidRPr="00207868">
        <w:rPr>
          <w:rFonts w:ascii="Verdana" w:hAnsi="Verdana"/>
          <w:color w:val="000000"/>
        </w:rPr>
        <w:t xml:space="preserve"> corresponde a </w:t>
      </w:r>
      <w:r w:rsidRPr="00207868">
        <w:rPr>
          <w:rFonts w:ascii="Verdana" w:hAnsi="Verdana"/>
          <w:color w:val="000000"/>
        </w:rPr>
        <w:t xml:space="preserve">la </w:t>
      </w:r>
      <w:r w:rsidRPr="00207868">
        <w:rPr>
          <w:rFonts w:ascii="Verdana" w:hAnsi="Verdana"/>
          <w:b/>
          <w:color w:val="000000"/>
        </w:rPr>
        <w:t>deuda flotante</w:t>
      </w:r>
      <w:r w:rsidR="004B3C27" w:rsidRPr="00207868">
        <w:rPr>
          <w:rFonts w:ascii="Verdana" w:hAnsi="Verdana"/>
          <w:b/>
          <w:color w:val="000000"/>
        </w:rPr>
        <w:t xml:space="preserve"> del </w:t>
      </w:r>
      <w:r w:rsidRPr="00207868">
        <w:rPr>
          <w:rFonts w:ascii="Verdana" w:hAnsi="Verdana"/>
          <w:b/>
          <w:color w:val="000000"/>
        </w:rPr>
        <w:t xml:space="preserve">Ejercicio </w:t>
      </w:r>
      <w:r w:rsidR="00CB5723" w:rsidRPr="00207868">
        <w:rPr>
          <w:rFonts w:ascii="Verdana" w:hAnsi="Verdana"/>
          <w:b/>
          <w:color w:val="000000"/>
        </w:rPr>
        <w:t>202</w:t>
      </w:r>
      <w:r w:rsidR="00055369" w:rsidRPr="00207868">
        <w:rPr>
          <w:rFonts w:ascii="Verdana" w:hAnsi="Verdana"/>
          <w:b/>
          <w:color w:val="000000"/>
        </w:rPr>
        <w:t>4</w:t>
      </w:r>
      <w:r w:rsidR="00CB5723" w:rsidRPr="00207868">
        <w:rPr>
          <w:rFonts w:ascii="Verdana" w:hAnsi="Verdana"/>
          <w:color w:val="000000"/>
        </w:rPr>
        <w:t xml:space="preserve"> </w:t>
      </w:r>
      <w:r w:rsidRPr="00207868">
        <w:rPr>
          <w:rFonts w:ascii="Verdana" w:hAnsi="Verdana"/>
          <w:color w:val="000000"/>
        </w:rPr>
        <w:t xml:space="preserve">de la partida </w:t>
      </w:r>
      <w:r w:rsidR="00AD606C" w:rsidRPr="00207868">
        <w:rPr>
          <w:rFonts w:ascii="Verdana" w:hAnsi="Verdana"/>
          <w:color w:val="000000"/>
        </w:rPr>
        <w:t>Amortización de Deuda Residuos Pasivos s/OP (74101) por la suma de $</w:t>
      </w:r>
      <w:r w:rsidR="00731647" w:rsidRPr="00207868">
        <w:rPr>
          <w:rFonts w:ascii="Verdana" w:hAnsi="Verdana"/>
          <w:color w:val="000000"/>
        </w:rPr>
        <w:t>563.441.362,66</w:t>
      </w:r>
      <w:r w:rsidR="00AD606C" w:rsidRPr="00207868">
        <w:rPr>
          <w:rFonts w:ascii="Verdana" w:hAnsi="Verdana"/>
          <w:color w:val="000000"/>
        </w:rPr>
        <w:t xml:space="preserve"> (pesos</w:t>
      </w:r>
      <w:r w:rsidR="009856D3" w:rsidRPr="00207868">
        <w:rPr>
          <w:rFonts w:ascii="Verdana" w:hAnsi="Verdana"/>
          <w:color w:val="000000"/>
        </w:rPr>
        <w:t xml:space="preserve"> </w:t>
      </w:r>
      <w:r w:rsidR="00731647" w:rsidRPr="00207868">
        <w:rPr>
          <w:rFonts w:ascii="Verdana" w:hAnsi="Verdana"/>
        </w:rPr>
        <w:t xml:space="preserve">Quinientos sesenta y tres millones cuatrocientos cuarenta y un mil trescientos sesenta y dos </w:t>
      </w:r>
      <w:r w:rsidR="00731647" w:rsidRPr="00207868">
        <w:rPr>
          <w:rFonts w:ascii="Verdana" w:hAnsi="Verdana"/>
        </w:rPr>
        <w:t>con 66/100</w:t>
      </w:r>
      <w:r w:rsidR="00AD606C" w:rsidRPr="00207868">
        <w:rPr>
          <w:rFonts w:ascii="Verdana" w:hAnsi="Verdana"/>
          <w:color w:val="000000"/>
        </w:rPr>
        <w:t>) y Amortización de Deuda Residuos Pasivos c/OP (74102) por un monto de $</w:t>
      </w:r>
      <w:r w:rsidR="00731647" w:rsidRPr="00207868">
        <w:rPr>
          <w:rFonts w:ascii="Verdana" w:hAnsi="Verdana"/>
          <w:color w:val="000000"/>
        </w:rPr>
        <w:t>4.712.693.291,21</w:t>
      </w:r>
      <w:r w:rsidR="00AD606C" w:rsidRPr="00207868">
        <w:rPr>
          <w:rFonts w:ascii="Verdana" w:hAnsi="Verdana"/>
          <w:color w:val="000000"/>
        </w:rPr>
        <w:t xml:space="preserve"> (pesos </w:t>
      </w:r>
      <w:r w:rsidR="00731647" w:rsidRPr="00207868">
        <w:rPr>
          <w:rFonts w:ascii="Verdana" w:hAnsi="Verdana"/>
        </w:rPr>
        <w:t xml:space="preserve">Cuatro mil setecientos doce millones seiscientos noventa y tres mil doscientos noventa y uno con </w:t>
      </w:r>
      <w:r w:rsidR="00731647" w:rsidRPr="00207868">
        <w:rPr>
          <w:rFonts w:ascii="Verdana" w:hAnsi="Verdana"/>
        </w:rPr>
        <w:t>21/100</w:t>
      </w:r>
      <w:r w:rsidR="00497749" w:rsidRPr="00207868">
        <w:rPr>
          <w:rFonts w:ascii="Verdana" w:hAnsi="Verdana"/>
          <w:color w:val="000000"/>
        </w:rPr>
        <w:t>)</w:t>
      </w:r>
      <w:r w:rsidR="00A3039B" w:rsidRPr="00207868">
        <w:rPr>
          <w:rFonts w:ascii="Verdana" w:hAnsi="Verdana"/>
          <w:color w:val="000000"/>
        </w:rPr>
        <w:t xml:space="preserve"> y Pasivos con Orden de Pago Perimidas (74104)</w:t>
      </w:r>
      <w:r w:rsidR="00207868" w:rsidRPr="00207868">
        <w:rPr>
          <w:rFonts w:ascii="Verdana" w:hAnsi="Verdana"/>
          <w:color w:val="000000"/>
        </w:rPr>
        <w:t xml:space="preserve"> </w:t>
      </w:r>
      <w:r w:rsidR="00207868" w:rsidRPr="00207868">
        <w:rPr>
          <w:rFonts w:ascii="Verdana" w:hAnsi="Verdana"/>
          <w:color w:val="000000"/>
        </w:rPr>
        <w:t>por un monto de</w:t>
      </w:r>
      <w:r w:rsidR="00207868">
        <w:rPr>
          <w:rFonts w:ascii="Verdana" w:hAnsi="Verdana"/>
          <w:color w:val="000000"/>
        </w:rPr>
        <w:t xml:space="preserve"> $241.404.379,37; </w:t>
      </w:r>
      <w:r w:rsidR="00A3039B" w:rsidRPr="00207868">
        <w:rPr>
          <w:rFonts w:ascii="Verdana" w:hAnsi="Verdana"/>
          <w:color w:val="000000"/>
        </w:rPr>
        <w:t xml:space="preserve"> correspondiente a Convenios con  Municipios</w:t>
      </w:r>
      <w:r w:rsidR="00497749" w:rsidRPr="00207868">
        <w:rPr>
          <w:rFonts w:ascii="Verdana" w:hAnsi="Verdana"/>
          <w:color w:val="000000"/>
        </w:rPr>
        <w:t xml:space="preserve">, correspondiendo a </w:t>
      </w:r>
      <w:r w:rsidR="00AD606C" w:rsidRPr="00207868">
        <w:rPr>
          <w:rFonts w:ascii="Verdana" w:hAnsi="Verdana"/>
          <w:color w:val="000000"/>
        </w:rPr>
        <w:t>conceptos no programados</w:t>
      </w:r>
      <w:r w:rsidR="00497749" w:rsidRPr="00207868">
        <w:rPr>
          <w:rFonts w:ascii="Verdana" w:hAnsi="Verdana"/>
          <w:color w:val="000000"/>
        </w:rPr>
        <w:t xml:space="preserve"> para el Ejercicio 202</w:t>
      </w:r>
      <w:r w:rsidR="00EF4A46" w:rsidRPr="00207868">
        <w:rPr>
          <w:rFonts w:ascii="Verdana" w:hAnsi="Verdana"/>
          <w:color w:val="000000"/>
        </w:rPr>
        <w:t>5</w:t>
      </w:r>
      <w:r w:rsidR="00AD606C" w:rsidRPr="00207868">
        <w:rPr>
          <w:rFonts w:ascii="Verdana" w:hAnsi="Verdana"/>
          <w:color w:val="000000"/>
        </w:rPr>
        <w:t>.</w:t>
      </w:r>
      <w:r w:rsidR="00BB5BE8" w:rsidRPr="00207868">
        <w:rPr>
          <w:rFonts w:ascii="Verdana" w:hAnsi="Verdana"/>
          <w:color w:val="000000"/>
        </w:rPr>
        <w:t xml:space="preserve"> </w:t>
      </w:r>
      <w:r w:rsidR="00A3039B" w:rsidRPr="00207868">
        <w:rPr>
          <w:rFonts w:ascii="Verdana" w:hAnsi="Verdana" w:cstheme="minorHAnsi"/>
        </w:rPr>
        <w:t xml:space="preserve">El monto de ARS 64.6 millones, corresponde a deuda flotante del ejercicio 2024, principalmente a la partida AMORTIZACIÓN DE DEUDA PASIVOS S/OP (74101 - H99005), debido a las órdenes de pago nº 47 y </w:t>
      </w:r>
      <w:r w:rsidR="00207868">
        <w:rPr>
          <w:rFonts w:ascii="Verdana" w:hAnsi="Verdana" w:cstheme="minorHAnsi"/>
        </w:rPr>
        <w:t xml:space="preserve"> n° </w:t>
      </w:r>
      <w:r w:rsidR="00A3039B" w:rsidRPr="00207868">
        <w:rPr>
          <w:rFonts w:ascii="Verdana" w:hAnsi="Verdana" w:cstheme="minorHAnsi"/>
        </w:rPr>
        <w:t xml:space="preserve">68 - </w:t>
      </w:r>
      <w:r w:rsidR="00A3039B" w:rsidRPr="00207868">
        <w:rPr>
          <w:rFonts w:ascii="Verdana" w:hAnsi="Verdana" w:cstheme="minorHAnsi"/>
        </w:rPr>
        <w:lastRenderedPageBreak/>
        <w:t xml:space="preserve">CUC 020 - año 2025, a favor del Municipio de </w:t>
      </w:r>
      <w:proofErr w:type="spellStart"/>
      <w:r w:rsidR="00A3039B" w:rsidRPr="00207868">
        <w:rPr>
          <w:rFonts w:ascii="Verdana" w:hAnsi="Verdana" w:cstheme="minorHAnsi"/>
        </w:rPr>
        <w:t>Guaymallén</w:t>
      </w:r>
      <w:proofErr w:type="spellEnd"/>
      <w:r w:rsidR="00A3039B" w:rsidRPr="00207868">
        <w:rPr>
          <w:rFonts w:ascii="Verdana" w:hAnsi="Verdana" w:cstheme="minorHAnsi"/>
        </w:rPr>
        <w:t xml:space="preserve"> (Proyecto IU37) y La Paz (Proyecto Barrio </w:t>
      </w:r>
      <w:proofErr w:type="spellStart"/>
      <w:r w:rsidR="00A3039B" w:rsidRPr="00207868">
        <w:rPr>
          <w:rFonts w:ascii="Verdana" w:hAnsi="Verdana" w:cstheme="minorHAnsi"/>
        </w:rPr>
        <w:t>Boggero</w:t>
      </w:r>
      <w:proofErr w:type="spellEnd"/>
      <w:r w:rsidR="00A3039B" w:rsidRPr="00207868">
        <w:rPr>
          <w:rFonts w:ascii="Verdana" w:hAnsi="Verdana" w:cstheme="minorHAnsi"/>
        </w:rPr>
        <w:t>) respectivamente, en el marco del Programa de Inversión Productiva Municipal, por los préstamos otorgados a municipios, en el marco de lo dispuesto por el art. 48 de la Ley Nº 9.497, Decreto Nº 1677/24.</w:t>
      </w:r>
      <w:r w:rsidR="00BB5BE8" w:rsidRPr="00207868">
        <w:rPr>
          <w:rFonts w:ascii="Verdana" w:hAnsi="Verdana" w:cstheme="minorHAnsi"/>
        </w:rPr>
        <w:t xml:space="preserve"> </w:t>
      </w:r>
      <w:r w:rsidR="00BB5BE8" w:rsidRPr="00207868">
        <w:rPr>
          <w:rFonts w:ascii="Verdana" w:hAnsi="Verdana"/>
        </w:rPr>
        <w:t xml:space="preserve">Información que surge del CUC 020 suministrada por la </w:t>
      </w:r>
      <w:r w:rsidR="00BB5BE8" w:rsidRPr="00207868">
        <w:rPr>
          <w:rFonts w:ascii="Verdana" w:hAnsi="Verdana"/>
          <w:color w:val="000000"/>
        </w:rPr>
        <w:t xml:space="preserve">Dirección  General de Crédito al Sector Público. </w:t>
      </w:r>
    </w:p>
    <w:p w:rsidR="00367849" w:rsidRPr="00207868" w:rsidRDefault="00731647" w:rsidP="00207868">
      <w:pPr>
        <w:spacing w:line="360" w:lineRule="auto"/>
        <w:ind w:left="644"/>
        <w:jc w:val="both"/>
        <w:rPr>
          <w:rFonts w:ascii="Verdana" w:hAnsi="Verdana"/>
          <w:u w:color="FFFFFF" w:themeColor="background1"/>
        </w:rPr>
      </w:pPr>
      <w:bookmarkStart w:id="0" w:name="_GoBack"/>
      <w:bookmarkEnd w:id="0"/>
      <w:r w:rsidRPr="00207868">
        <w:rPr>
          <w:rFonts w:ascii="Verdana" w:hAnsi="Verdana" w:cstheme="minorHAnsi"/>
        </w:rPr>
        <w:t xml:space="preserve">En relación con la </w:t>
      </w:r>
      <w:r w:rsidRPr="00207868">
        <w:rPr>
          <w:rFonts w:ascii="Verdana" w:hAnsi="Verdana" w:cstheme="minorHAnsi"/>
          <w:b/>
        </w:rPr>
        <w:t>Amortización de Capital por otras deudas (amortización de la deuda consolidada 72103)</w:t>
      </w:r>
      <w:r w:rsidRPr="00207868">
        <w:rPr>
          <w:rFonts w:ascii="Verdana" w:hAnsi="Verdana" w:cstheme="minorHAnsi"/>
        </w:rPr>
        <w:t xml:space="preserve"> en este trimestre se ejecutó en menor medida, debido principalmente, a las proyecciones de los distintos índices que aumentaron en menor medida de lo esperado.</w:t>
      </w:r>
      <w:r w:rsidR="00A3039B" w:rsidRPr="00207868">
        <w:rPr>
          <w:rFonts w:ascii="Verdana" w:hAnsi="Verdana" w:cstheme="minorHAnsi"/>
        </w:rPr>
        <w:t xml:space="preserve"> </w:t>
      </w:r>
      <w:r w:rsidR="00367849" w:rsidRPr="00207868">
        <w:rPr>
          <w:rFonts w:ascii="Verdana" w:hAnsi="Verdana"/>
        </w:rPr>
        <w:t xml:space="preserve">Información que surge del CUC 020 suministrada por la </w:t>
      </w:r>
      <w:r w:rsidR="00367849" w:rsidRPr="00207868">
        <w:rPr>
          <w:rFonts w:ascii="Verdana" w:hAnsi="Verdana"/>
          <w:color w:val="000000"/>
        </w:rPr>
        <w:t>Dirección  General de Crédito al Sector Público.</w:t>
      </w:r>
    </w:p>
    <w:sectPr w:rsidR="00367849" w:rsidRPr="00207868" w:rsidSect="00F727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778" w:right="2268" w:bottom="794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693" w:rsidRDefault="00BD0693" w:rsidP="00022F60">
      <w:r>
        <w:separator/>
      </w:r>
    </w:p>
  </w:endnote>
  <w:endnote w:type="continuationSeparator" w:id="0">
    <w:p w:rsidR="00BD0693" w:rsidRDefault="00BD0693" w:rsidP="0002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o">
    <w:altName w:val="Calibri"/>
    <w:charset w:val="00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D0F" w:rsidRDefault="009C3D0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8C1D33" w:rsidRDefault="008C1D33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D0F" w:rsidRDefault="009C3D0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693" w:rsidRDefault="00BD0693" w:rsidP="00022F60">
      <w:r>
        <w:separator/>
      </w:r>
    </w:p>
  </w:footnote>
  <w:footnote w:type="continuationSeparator" w:id="0">
    <w:p w:rsidR="00BD0693" w:rsidRDefault="00BD0693" w:rsidP="0002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D0F" w:rsidRDefault="009C3D0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D0F" w:rsidRDefault="009C3D0F" w:rsidP="009C3D0F">
    <w:pPr>
      <w:pStyle w:val="Encabezado"/>
      <w:rPr>
        <w:rFonts w:ascii="Lato" w:hAnsi="Lato"/>
        <w:b/>
        <w:bCs/>
        <w:color w:val="000F9F"/>
      </w:rPr>
    </w:pPr>
  </w:p>
  <w:p w:rsidR="009C3D0F" w:rsidRDefault="009C3D0F" w:rsidP="009C3D0F">
    <w:pPr>
      <w:pStyle w:val="Encabezado"/>
      <w:rPr>
        <w:rFonts w:ascii="Lato" w:hAnsi="Lato"/>
        <w:b/>
        <w:bCs/>
        <w:color w:val="000F9F"/>
      </w:rPr>
    </w:pPr>
  </w:p>
  <w:p w:rsidR="009C3D0F" w:rsidRDefault="009C3D0F" w:rsidP="009C3D0F">
    <w:pPr>
      <w:pStyle w:val="Encabezado"/>
      <w:rPr>
        <w:rFonts w:ascii="Lato" w:hAnsi="Lato"/>
        <w:b/>
        <w:bCs/>
        <w:color w:val="000F9F"/>
      </w:rPr>
    </w:pPr>
  </w:p>
  <w:p w:rsidR="009C3D0F" w:rsidRDefault="009C3D0F" w:rsidP="009C3D0F">
    <w:pPr>
      <w:pStyle w:val="Encabezado"/>
      <w:rPr>
        <w:rFonts w:ascii="Lato" w:hAnsi="Lato"/>
        <w:b/>
        <w:bCs/>
        <w:color w:val="000F9F"/>
      </w:rPr>
    </w:pPr>
  </w:p>
  <w:p w:rsidR="009C3D0F" w:rsidRDefault="009C3D0F" w:rsidP="009C3D0F">
    <w:pPr>
      <w:pStyle w:val="Encabezado"/>
      <w:rPr>
        <w:rFonts w:ascii="Lato" w:hAnsi="Lato"/>
        <w:b/>
        <w:bCs/>
        <w:color w:val="000F9F"/>
      </w:rPr>
    </w:pPr>
  </w:p>
  <w:p w:rsidR="009C3D0F" w:rsidRDefault="009C3D0F" w:rsidP="009C3D0F">
    <w:pPr>
      <w:pStyle w:val="Encabezado"/>
      <w:rPr>
        <w:rFonts w:ascii="Lato" w:hAnsi="Lato"/>
        <w:b/>
        <w:bCs/>
        <w:color w:val="000F9F"/>
      </w:rPr>
    </w:pPr>
  </w:p>
  <w:p w:rsidR="009C3D0F" w:rsidRPr="00FB22AC" w:rsidRDefault="009C3D0F" w:rsidP="009C3D0F">
    <w:pPr>
      <w:pStyle w:val="Encabezado"/>
      <w:rPr>
        <w:rFonts w:ascii="Lato" w:hAnsi="Lato"/>
        <w:b/>
        <w:bCs/>
        <w:color w:val="000F9F"/>
      </w:rPr>
    </w:pPr>
    <w:r w:rsidRPr="00FB22AC">
      <w:rPr>
        <w:rFonts w:ascii="Lato" w:hAnsi="Lato"/>
        <w:b/>
        <w:bCs/>
        <w:noProof/>
        <w:color w:val="000F9F"/>
        <w:lang w:val="es-AR" w:eastAsia="es-AR"/>
      </w:rPr>
      <w:drawing>
        <wp:anchor distT="0" distB="0" distL="114300" distR="114300" simplePos="0" relativeHeight="251659264" behindDoc="0" locked="0" layoutInCell="1" allowOverlap="1" wp14:anchorId="2E73ACA3" wp14:editId="26B2BDD0">
          <wp:simplePos x="0" y="0"/>
          <wp:positionH relativeFrom="margin">
            <wp:align>right</wp:align>
          </wp:positionH>
          <wp:positionV relativeFrom="paragraph">
            <wp:posOffset>-1095375</wp:posOffset>
          </wp:positionV>
          <wp:extent cx="760095" cy="1276350"/>
          <wp:effectExtent l="0" t="0" r="1905" b="0"/>
          <wp:wrapSquare wrapText="bothSides"/>
          <wp:docPr id="19" name="Gráfico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095" cy="1276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Lato" w:hAnsi="Lato"/>
        <w:b/>
        <w:bCs/>
        <w:color w:val="000F9F"/>
      </w:rPr>
      <w:t>MINISTERIO DE HACIENDA Y FINANZAS</w:t>
    </w:r>
  </w:p>
  <w:p w:rsidR="009C3D0F" w:rsidRPr="00FB22AC" w:rsidRDefault="009C3D0F" w:rsidP="009C3D0F">
    <w:pPr>
      <w:pStyle w:val="Encabezado"/>
      <w:rPr>
        <w:color w:val="000F9F"/>
      </w:rPr>
    </w:pPr>
    <w:r>
      <w:rPr>
        <w:rFonts w:ascii="Lato" w:hAnsi="Lato"/>
        <w:b/>
        <w:bCs/>
        <w:color w:val="000F9F"/>
      </w:rPr>
      <w:t>DIRECCION GENERAL DE ADMINISTRACION</w:t>
    </w:r>
  </w:p>
  <w:p w:rsidR="009C3D0F" w:rsidRPr="00FB22AC" w:rsidRDefault="009C3D0F" w:rsidP="009C3D0F">
    <w:pPr>
      <w:pStyle w:val="Encabezado"/>
      <w:rPr>
        <w:rFonts w:ascii="Lato" w:hAnsi="Lato"/>
      </w:rPr>
    </w:pPr>
    <w:r w:rsidRPr="00FB22AC">
      <w:rPr>
        <w:rFonts w:ascii="Lato" w:hAnsi="Lato"/>
      </w:rPr>
      <w:t>S</w:t>
    </w:r>
    <w:r>
      <w:rPr>
        <w:rFonts w:ascii="Lato" w:hAnsi="Lato"/>
      </w:rPr>
      <w:t>UBDIRECCION DE SERVICIOS ADMINISTRATIVOS</w:t>
    </w:r>
  </w:p>
  <w:p w:rsidR="008C1D33" w:rsidRPr="009C3D0F" w:rsidRDefault="008C1D33" w:rsidP="009C3D0F">
    <w:pPr>
      <w:pStyle w:val="Encabezado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D0F" w:rsidRDefault="009C3D0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A3025"/>
    <w:multiLevelType w:val="hybridMultilevel"/>
    <w:tmpl w:val="DB1EA5C0"/>
    <w:lvl w:ilvl="0" w:tplc="2C0A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CEA3136"/>
    <w:multiLevelType w:val="hybridMultilevel"/>
    <w:tmpl w:val="1250F394"/>
    <w:lvl w:ilvl="0" w:tplc="151C33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10C879CA"/>
    <w:multiLevelType w:val="hybridMultilevel"/>
    <w:tmpl w:val="F6D4ADB2"/>
    <w:lvl w:ilvl="0" w:tplc="2C0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>
    <w:nsid w:val="15214DB8"/>
    <w:multiLevelType w:val="hybridMultilevel"/>
    <w:tmpl w:val="A78AD40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16273"/>
    <w:multiLevelType w:val="hybridMultilevel"/>
    <w:tmpl w:val="2D740B30"/>
    <w:lvl w:ilvl="0" w:tplc="62026DB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2E1F7F"/>
    <w:multiLevelType w:val="hybridMultilevel"/>
    <w:tmpl w:val="2116B17A"/>
    <w:lvl w:ilvl="0" w:tplc="2C0A000F">
      <w:start w:val="1"/>
      <w:numFmt w:val="decimal"/>
      <w:lvlText w:val="%1."/>
      <w:lvlJc w:val="left"/>
      <w:pPr>
        <w:ind w:left="1866" w:hanging="360"/>
      </w:pPr>
    </w:lvl>
    <w:lvl w:ilvl="1" w:tplc="2C0A0019" w:tentative="1">
      <w:start w:val="1"/>
      <w:numFmt w:val="lowerLetter"/>
      <w:lvlText w:val="%2."/>
      <w:lvlJc w:val="left"/>
      <w:pPr>
        <w:ind w:left="2586" w:hanging="360"/>
      </w:pPr>
    </w:lvl>
    <w:lvl w:ilvl="2" w:tplc="2C0A001B" w:tentative="1">
      <w:start w:val="1"/>
      <w:numFmt w:val="lowerRoman"/>
      <w:lvlText w:val="%3."/>
      <w:lvlJc w:val="right"/>
      <w:pPr>
        <w:ind w:left="3306" w:hanging="180"/>
      </w:pPr>
    </w:lvl>
    <w:lvl w:ilvl="3" w:tplc="2C0A000F" w:tentative="1">
      <w:start w:val="1"/>
      <w:numFmt w:val="decimal"/>
      <w:lvlText w:val="%4."/>
      <w:lvlJc w:val="left"/>
      <w:pPr>
        <w:ind w:left="4026" w:hanging="360"/>
      </w:pPr>
    </w:lvl>
    <w:lvl w:ilvl="4" w:tplc="2C0A0019" w:tentative="1">
      <w:start w:val="1"/>
      <w:numFmt w:val="lowerLetter"/>
      <w:lvlText w:val="%5."/>
      <w:lvlJc w:val="left"/>
      <w:pPr>
        <w:ind w:left="4746" w:hanging="360"/>
      </w:pPr>
    </w:lvl>
    <w:lvl w:ilvl="5" w:tplc="2C0A001B" w:tentative="1">
      <w:start w:val="1"/>
      <w:numFmt w:val="lowerRoman"/>
      <w:lvlText w:val="%6."/>
      <w:lvlJc w:val="right"/>
      <w:pPr>
        <w:ind w:left="5466" w:hanging="180"/>
      </w:pPr>
    </w:lvl>
    <w:lvl w:ilvl="6" w:tplc="2C0A000F" w:tentative="1">
      <w:start w:val="1"/>
      <w:numFmt w:val="decimal"/>
      <w:lvlText w:val="%7."/>
      <w:lvlJc w:val="left"/>
      <w:pPr>
        <w:ind w:left="6186" w:hanging="360"/>
      </w:pPr>
    </w:lvl>
    <w:lvl w:ilvl="7" w:tplc="2C0A0019" w:tentative="1">
      <w:start w:val="1"/>
      <w:numFmt w:val="lowerLetter"/>
      <w:lvlText w:val="%8."/>
      <w:lvlJc w:val="left"/>
      <w:pPr>
        <w:ind w:left="6906" w:hanging="360"/>
      </w:pPr>
    </w:lvl>
    <w:lvl w:ilvl="8" w:tplc="2C0A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6">
    <w:nsid w:val="269857D9"/>
    <w:multiLevelType w:val="hybridMultilevel"/>
    <w:tmpl w:val="8DEE51E2"/>
    <w:lvl w:ilvl="0" w:tplc="700E45DC"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>
    <w:nsid w:val="30C1128E"/>
    <w:multiLevelType w:val="hybridMultilevel"/>
    <w:tmpl w:val="0A12A468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2BB5B22"/>
    <w:multiLevelType w:val="hybridMultilevel"/>
    <w:tmpl w:val="7B585060"/>
    <w:lvl w:ilvl="0" w:tplc="0C0A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D179BC"/>
    <w:multiLevelType w:val="hybridMultilevel"/>
    <w:tmpl w:val="55948576"/>
    <w:lvl w:ilvl="0" w:tplc="77E030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2159E9"/>
    <w:multiLevelType w:val="hybridMultilevel"/>
    <w:tmpl w:val="D488EACA"/>
    <w:lvl w:ilvl="0" w:tplc="FC48106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b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361D70"/>
    <w:multiLevelType w:val="hybridMultilevel"/>
    <w:tmpl w:val="17846B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960083"/>
    <w:multiLevelType w:val="hybridMultilevel"/>
    <w:tmpl w:val="D2C2F49C"/>
    <w:lvl w:ilvl="0" w:tplc="FC48106C">
      <w:start w:val="1"/>
      <w:numFmt w:val="lowerLetter"/>
      <w:lvlText w:val="%1)"/>
      <w:lvlJc w:val="left"/>
      <w:pPr>
        <w:ind w:left="1146" w:hanging="360"/>
      </w:pPr>
      <w:rPr>
        <w:rFonts w:ascii="Verdana" w:hAnsi="Verdana"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866" w:hanging="360"/>
      </w:pPr>
    </w:lvl>
    <w:lvl w:ilvl="2" w:tplc="2C0A001B" w:tentative="1">
      <w:start w:val="1"/>
      <w:numFmt w:val="lowerRoman"/>
      <w:lvlText w:val="%3."/>
      <w:lvlJc w:val="right"/>
      <w:pPr>
        <w:ind w:left="2586" w:hanging="180"/>
      </w:pPr>
    </w:lvl>
    <w:lvl w:ilvl="3" w:tplc="2C0A000F" w:tentative="1">
      <w:start w:val="1"/>
      <w:numFmt w:val="decimal"/>
      <w:lvlText w:val="%4."/>
      <w:lvlJc w:val="left"/>
      <w:pPr>
        <w:ind w:left="3306" w:hanging="360"/>
      </w:pPr>
    </w:lvl>
    <w:lvl w:ilvl="4" w:tplc="2C0A0019" w:tentative="1">
      <w:start w:val="1"/>
      <w:numFmt w:val="lowerLetter"/>
      <w:lvlText w:val="%5."/>
      <w:lvlJc w:val="left"/>
      <w:pPr>
        <w:ind w:left="4026" w:hanging="360"/>
      </w:pPr>
    </w:lvl>
    <w:lvl w:ilvl="5" w:tplc="2C0A001B" w:tentative="1">
      <w:start w:val="1"/>
      <w:numFmt w:val="lowerRoman"/>
      <w:lvlText w:val="%6."/>
      <w:lvlJc w:val="right"/>
      <w:pPr>
        <w:ind w:left="4746" w:hanging="180"/>
      </w:pPr>
    </w:lvl>
    <w:lvl w:ilvl="6" w:tplc="2C0A000F" w:tentative="1">
      <w:start w:val="1"/>
      <w:numFmt w:val="decimal"/>
      <w:lvlText w:val="%7."/>
      <w:lvlJc w:val="left"/>
      <w:pPr>
        <w:ind w:left="5466" w:hanging="360"/>
      </w:pPr>
    </w:lvl>
    <w:lvl w:ilvl="7" w:tplc="2C0A0019" w:tentative="1">
      <w:start w:val="1"/>
      <w:numFmt w:val="lowerLetter"/>
      <w:lvlText w:val="%8."/>
      <w:lvlJc w:val="left"/>
      <w:pPr>
        <w:ind w:left="6186" w:hanging="360"/>
      </w:pPr>
    </w:lvl>
    <w:lvl w:ilvl="8" w:tplc="2C0A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8"/>
  </w:num>
  <w:num w:numId="6">
    <w:abstractNumId w:val="9"/>
  </w:num>
  <w:num w:numId="7">
    <w:abstractNumId w:val="4"/>
  </w:num>
  <w:num w:numId="8">
    <w:abstractNumId w:val="10"/>
  </w:num>
  <w:num w:numId="9">
    <w:abstractNumId w:val="12"/>
  </w:num>
  <w:num w:numId="10">
    <w:abstractNumId w:val="5"/>
  </w:num>
  <w:num w:numId="11">
    <w:abstractNumId w:val="7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17C"/>
    <w:rsid w:val="000028CF"/>
    <w:rsid w:val="00002F75"/>
    <w:rsid w:val="0000370C"/>
    <w:rsid w:val="0000564B"/>
    <w:rsid w:val="0001062E"/>
    <w:rsid w:val="00014113"/>
    <w:rsid w:val="00022F60"/>
    <w:rsid w:val="00024C05"/>
    <w:rsid w:val="00025534"/>
    <w:rsid w:val="00030BCF"/>
    <w:rsid w:val="00034366"/>
    <w:rsid w:val="000350DB"/>
    <w:rsid w:val="0004208E"/>
    <w:rsid w:val="00053410"/>
    <w:rsid w:val="00054D98"/>
    <w:rsid w:val="00054EE2"/>
    <w:rsid w:val="00055369"/>
    <w:rsid w:val="00057AE5"/>
    <w:rsid w:val="000606CC"/>
    <w:rsid w:val="0006121F"/>
    <w:rsid w:val="00067998"/>
    <w:rsid w:val="00077734"/>
    <w:rsid w:val="00091097"/>
    <w:rsid w:val="00094A9C"/>
    <w:rsid w:val="000A011B"/>
    <w:rsid w:val="000A1E98"/>
    <w:rsid w:val="000A395B"/>
    <w:rsid w:val="000A44AC"/>
    <w:rsid w:val="000A68B5"/>
    <w:rsid w:val="000D1439"/>
    <w:rsid w:val="000E0F7C"/>
    <w:rsid w:val="000E1067"/>
    <w:rsid w:val="000E1162"/>
    <w:rsid w:val="000E7665"/>
    <w:rsid w:val="000E7CAE"/>
    <w:rsid w:val="000F78FA"/>
    <w:rsid w:val="00103D20"/>
    <w:rsid w:val="0011343D"/>
    <w:rsid w:val="001140D6"/>
    <w:rsid w:val="001147AB"/>
    <w:rsid w:val="00114ECA"/>
    <w:rsid w:val="00116727"/>
    <w:rsid w:val="0012022F"/>
    <w:rsid w:val="00122384"/>
    <w:rsid w:val="00123EBA"/>
    <w:rsid w:val="001334F9"/>
    <w:rsid w:val="00133C83"/>
    <w:rsid w:val="00134312"/>
    <w:rsid w:val="00136061"/>
    <w:rsid w:val="00136081"/>
    <w:rsid w:val="00140B32"/>
    <w:rsid w:val="00144B8B"/>
    <w:rsid w:val="0014635B"/>
    <w:rsid w:val="0015268E"/>
    <w:rsid w:val="0016446C"/>
    <w:rsid w:val="001649B4"/>
    <w:rsid w:val="00165DA0"/>
    <w:rsid w:val="00167EF9"/>
    <w:rsid w:val="0017014C"/>
    <w:rsid w:val="00174AA7"/>
    <w:rsid w:val="00175875"/>
    <w:rsid w:val="00175D29"/>
    <w:rsid w:val="001812E1"/>
    <w:rsid w:val="00181D95"/>
    <w:rsid w:val="00183AF2"/>
    <w:rsid w:val="00184129"/>
    <w:rsid w:val="00187B1E"/>
    <w:rsid w:val="001905EA"/>
    <w:rsid w:val="001929FB"/>
    <w:rsid w:val="001965E4"/>
    <w:rsid w:val="00196A55"/>
    <w:rsid w:val="0019724F"/>
    <w:rsid w:val="0019798D"/>
    <w:rsid w:val="001B234B"/>
    <w:rsid w:val="001B2EF9"/>
    <w:rsid w:val="001B3409"/>
    <w:rsid w:val="001B579A"/>
    <w:rsid w:val="001E0BA7"/>
    <w:rsid w:val="001E0F2E"/>
    <w:rsid w:val="001E64AA"/>
    <w:rsid w:val="001F0814"/>
    <w:rsid w:val="001F0AA2"/>
    <w:rsid w:val="001F653A"/>
    <w:rsid w:val="001F695E"/>
    <w:rsid w:val="00200D19"/>
    <w:rsid w:val="00203F0A"/>
    <w:rsid w:val="0020522C"/>
    <w:rsid w:val="00206DEB"/>
    <w:rsid w:val="00207868"/>
    <w:rsid w:val="00213C92"/>
    <w:rsid w:val="00216C08"/>
    <w:rsid w:val="00217351"/>
    <w:rsid w:val="00224A30"/>
    <w:rsid w:val="002277AD"/>
    <w:rsid w:val="00230C4D"/>
    <w:rsid w:val="002313F3"/>
    <w:rsid w:val="00232370"/>
    <w:rsid w:val="0023314A"/>
    <w:rsid w:val="0023434C"/>
    <w:rsid w:val="00234920"/>
    <w:rsid w:val="00235AB1"/>
    <w:rsid w:val="0024444C"/>
    <w:rsid w:val="00244803"/>
    <w:rsid w:val="00244FDC"/>
    <w:rsid w:val="0025169C"/>
    <w:rsid w:val="002561CE"/>
    <w:rsid w:val="00263132"/>
    <w:rsid w:val="00267AF4"/>
    <w:rsid w:val="00270BB9"/>
    <w:rsid w:val="00270BCC"/>
    <w:rsid w:val="00271015"/>
    <w:rsid w:val="00272A3D"/>
    <w:rsid w:val="00272DE7"/>
    <w:rsid w:val="00273D22"/>
    <w:rsid w:val="002822D1"/>
    <w:rsid w:val="00282D6F"/>
    <w:rsid w:val="00291AA1"/>
    <w:rsid w:val="0029610D"/>
    <w:rsid w:val="002A7C2D"/>
    <w:rsid w:val="002C1B5C"/>
    <w:rsid w:val="002C21B3"/>
    <w:rsid w:val="002C5FB3"/>
    <w:rsid w:val="002D267D"/>
    <w:rsid w:val="002D32DD"/>
    <w:rsid w:val="002D341F"/>
    <w:rsid w:val="002D7780"/>
    <w:rsid w:val="002F1816"/>
    <w:rsid w:val="00301FB6"/>
    <w:rsid w:val="00325552"/>
    <w:rsid w:val="00327D1E"/>
    <w:rsid w:val="00330D10"/>
    <w:rsid w:val="00334193"/>
    <w:rsid w:val="00337367"/>
    <w:rsid w:val="00341087"/>
    <w:rsid w:val="003439DD"/>
    <w:rsid w:val="00343DA3"/>
    <w:rsid w:val="00344DE9"/>
    <w:rsid w:val="00346CA3"/>
    <w:rsid w:val="00356351"/>
    <w:rsid w:val="003574C3"/>
    <w:rsid w:val="00362339"/>
    <w:rsid w:val="003624D3"/>
    <w:rsid w:val="00365275"/>
    <w:rsid w:val="003655FD"/>
    <w:rsid w:val="003658E7"/>
    <w:rsid w:val="003662CB"/>
    <w:rsid w:val="00367849"/>
    <w:rsid w:val="003678FD"/>
    <w:rsid w:val="003722E0"/>
    <w:rsid w:val="0037323C"/>
    <w:rsid w:val="00373E68"/>
    <w:rsid w:val="003879C9"/>
    <w:rsid w:val="00390683"/>
    <w:rsid w:val="003908ED"/>
    <w:rsid w:val="00395FDE"/>
    <w:rsid w:val="003967A2"/>
    <w:rsid w:val="0039746C"/>
    <w:rsid w:val="003A4419"/>
    <w:rsid w:val="003A7D26"/>
    <w:rsid w:val="003B0116"/>
    <w:rsid w:val="003B1388"/>
    <w:rsid w:val="003B31EB"/>
    <w:rsid w:val="003B5F3E"/>
    <w:rsid w:val="003B653A"/>
    <w:rsid w:val="003C237D"/>
    <w:rsid w:val="003C71E2"/>
    <w:rsid w:val="003E47C5"/>
    <w:rsid w:val="003E531F"/>
    <w:rsid w:val="003F04AA"/>
    <w:rsid w:val="00400D4B"/>
    <w:rsid w:val="00401344"/>
    <w:rsid w:val="0040331B"/>
    <w:rsid w:val="00404ACD"/>
    <w:rsid w:val="004065C1"/>
    <w:rsid w:val="00406CF3"/>
    <w:rsid w:val="0040796A"/>
    <w:rsid w:val="00411B56"/>
    <w:rsid w:val="00413433"/>
    <w:rsid w:val="004157D3"/>
    <w:rsid w:val="00416155"/>
    <w:rsid w:val="00416A8C"/>
    <w:rsid w:val="0042084D"/>
    <w:rsid w:val="00424043"/>
    <w:rsid w:val="0043204A"/>
    <w:rsid w:val="00434D94"/>
    <w:rsid w:val="00440DA3"/>
    <w:rsid w:val="004464A2"/>
    <w:rsid w:val="004509E8"/>
    <w:rsid w:val="00452F68"/>
    <w:rsid w:val="0045422C"/>
    <w:rsid w:val="0046192B"/>
    <w:rsid w:val="00462187"/>
    <w:rsid w:val="00465436"/>
    <w:rsid w:val="00471789"/>
    <w:rsid w:val="004756B8"/>
    <w:rsid w:val="004768B6"/>
    <w:rsid w:val="00482D8E"/>
    <w:rsid w:val="00484B5F"/>
    <w:rsid w:val="004850ED"/>
    <w:rsid w:val="00486A1F"/>
    <w:rsid w:val="00487680"/>
    <w:rsid w:val="00493248"/>
    <w:rsid w:val="00493D56"/>
    <w:rsid w:val="00497051"/>
    <w:rsid w:val="00497749"/>
    <w:rsid w:val="004A13FD"/>
    <w:rsid w:val="004A1F87"/>
    <w:rsid w:val="004A5F8F"/>
    <w:rsid w:val="004A7A59"/>
    <w:rsid w:val="004B2957"/>
    <w:rsid w:val="004B3C27"/>
    <w:rsid w:val="004B711A"/>
    <w:rsid w:val="004C103B"/>
    <w:rsid w:val="004C208B"/>
    <w:rsid w:val="004C4999"/>
    <w:rsid w:val="004C5EB5"/>
    <w:rsid w:val="004D13BA"/>
    <w:rsid w:val="004D317C"/>
    <w:rsid w:val="004E2D44"/>
    <w:rsid w:val="004F34B8"/>
    <w:rsid w:val="004F6021"/>
    <w:rsid w:val="005010BB"/>
    <w:rsid w:val="005044D4"/>
    <w:rsid w:val="0050675F"/>
    <w:rsid w:val="00506A25"/>
    <w:rsid w:val="00517899"/>
    <w:rsid w:val="0052698F"/>
    <w:rsid w:val="00527099"/>
    <w:rsid w:val="005320E7"/>
    <w:rsid w:val="005459DC"/>
    <w:rsid w:val="00550E7F"/>
    <w:rsid w:val="00551D87"/>
    <w:rsid w:val="00555C42"/>
    <w:rsid w:val="005718F6"/>
    <w:rsid w:val="005750E5"/>
    <w:rsid w:val="00575B96"/>
    <w:rsid w:val="00577922"/>
    <w:rsid w:val="005806CC"/>
    <w:rsid w:val="005911DB"/>
    <w:rsid w:val="00592920"/>
    <w:rsid w:val="00594D81"/>
    <w:rsid w:val="005A14FF"/>
    <w:rsid w:val="005A37E7"/>
    <w:rsid w:val="005A3F81"/>
    <w:rsid w:val="005A649B"/>
    <w:rsid w:val="005B073A"/>
    <w:rsid w:val="005B2F5B"/>
    <w:rsid w:val="005B3CAF"/>
    <w:rsid w:val="005B7007"/>
    <w:rsid w:val="005C1812"/>
    <w:rsid w:val="005D0868"/>
    <w:rsid w:val="005D13DC"/>
    <w:rsid w:val="005D5978"/>
    <w:rsid w:val="005D73F5"/>
    <w:rsid w:val="005F01D3"/>
    <w:rsid w:val="005F07CF"/>
    <w:rsid w:val="005F290C"/>
    <w:rsid w:val="005F4CD1"/>
    <w:rsid w:val="005F6AF1"/>
    <w:rsid w:val="006060B7"/>
    <w:rsid w:val="00606D2B"/>
    <w:rsid w:val="00614107"/>
    <w:rsid w:val="00617939"/>
    <w:rsid w:val="00624603"/>
    <w:rsid w:val="0063456F"/>
    <w:rsid w:val="006349A0"/>
    <w:rsid w:val="00637C08"/>
    <w:rsid w:val="006411D9"/>
    <w:rsid w:val="00644D37"/>
    <w:rsid w:val="00646528"/>
    <w:rsid w:val="006479FA"/>
    <w:rsid w:val="006514DA"/>
    <w:rsid w:val="00653298"/>
    <w:rsid w:val="00665CF5"/>
    <w:rsid w:val="006667CC"/>
    <w:rsid w:val="00672234"/>
    <w:rsid w:val="00684447"/>
    <w:rsid w:val="00686067"/>
    <w:rsid w:val="00687771"/>
    <w:rsid w:val="006911EF"/>
    <w:rsid w:val="00696D3F"/>
    <w:rsid w:val="006974B0"/>
    <w:rsid w:val="006A1427"/>
    <w:rsid w:val="006A32EE"/>
    <w:rsid w:val="006B26B4"/>
    <w:rsid w:val="006C1C68"/>
    <w:rsid w:val="006C26D2"/>
    <w:rsid w:val="006C2959"/>
    <w:rsid w:val="006C46EF"/>
    <w:rsid w:val="006D0ECF"/>
    <w:rsid w:val="006D5DE1"/>
    <w:rsid w:val="006D5E78"/>
    <w:rsid w:val="006E3768"/>
    <w:rsid w:val="006E487B"/>
    <w:rsid w:val="0070200A"/>
    <w:rsid w:val="007022FB"/>
    <w:rsid w:val="00713D6B"/>
    <w:rsid w:val="007151D1"/>
    <w:rsid w:val="007169C2"/>
    <w:rsid w:val="00730D26"/>
    <w:rsid w:val="00731647"/>
    <w:rsid w:val="0073187B"/>
    <w:rsid w:val="007350DF"/>
    <w:rsid w:val="007353D7"/>
    <w:rsid w:val="00736E31"/>
    <w:rsid w:val="00740F5F"/>
    <w:rsid w:val="00741CCC"/>
    <w:rsid w:val="00743FBD"/>
    <w:rsid w:val="00750A75"/>
    <w:rsid w:val="00750F59"/>
    <w:rsid w:val="00753821"/>
    <w:rsid w:val="00754575"/>
    <w:rsid w:val="00762F9B"/>
    <w:rsid w:val="007668E9"/>
    <w:rsid w:val="00767593"/>
    <w:rsid w:val="00777095"/>
    <w:rsid w:val="00780B89"/>
    <w:rsid w:val="00786B68"/>
    <w:rsid w:val="00787663"/>
    <w:rsid w:val="00793E33"/>
    <w:rsid w:val="0079451A"/>
    <w:rsid w:val="007A08DA"/>
    <w:rsid w:val="007A206F"/>
    <w:rsid w:val="007A5E56"/>
    <w:rsid w:val="007B0820"/>
    <w:rsid w:val="007B1FD8"/>
    <w:rsid w:val="007B79B7"/>
    <w:rsid w:val="007C1B5C"/>
    <w:rsid w:val="007C313B"/>
    <w:rsid w:val="007C514F"/>
    <w:rsid w:val="007C72E0"/>
    <w:rsid w:val="007D6482"/>
    <w:rsid w:val="007D7CE0"/>
    <w:rsid w:val="007E123C"/>
    <w:rsid w:val="007E3865"/>
    <w:rsid w:val="007E548B"/>
    <w:rsid w:val="007E759A"/>
    <w:rsid w:val="007F4427"/>
    <w:rsid w:val="007F6962"/>
    <w:rsid w:val="008119B5"/>
    <w:rsid w:val="0081452C"/>
    <w:rsid w:val="00814544"/>
    <w:rsid w:val="00815463"/>
    <w:rsid w:val="008220DF"/>
    <w:rsid w:val="00826413"/>
    <w:rsid w:val="00830FFE"/>
    <w:rsid w:val="008347A3"/>
    <w:rsid w:val="00837CCE"/>
    <w:rsid w:val="00843E3F"/>
    <w:rsid w:val="00847340"/>
    <w:rsid w:val="00851CF2"/>
    <w:rsid w:val="00853CFA"/>
    <w:rsid w:val="00855F26"/>
    <w:rsid w:val="00861F72"/>
    <w:rsid w:val="00872363"/>
    <w:rsid w:val="0088200B"/>
    <w:rsid w:val="008857FC"/>
    <w:rsid w:val="008B56EE"/>
    <w:rsid w:val="008C1D33"/>
    <w:rsid w:val="008C2534"/>
    <w:rsid w:val="008C419E"/>
    <w:rsid w:val="008C52D2"/>
    <w:rsid w:val="008C5E34"/>
    <w:rsid w:val="008D5B57"/>
    <w:rsid w:val="008E5A2D"/>
    <w:rsid w:val="008F1B4C"/>
    <w:rsid w:val="008F1BB9"/>
    <w:rsid w:val="008F3DFC"/>
    <w:rsid w:val="00913C7F"/>
    <w:rsid w:val="0091408D"/>
    <w:rsid w:val="0092174C"/>
    <w:rsid w:val="00933A56"/>
    <w:rsid w:val="00934B0D"/>
    <w:rsid w:val="0093723B"/>
    <w:rsid w:val="00941797"/>
    <w:rsid w:val="00941FCC"/>
    <w:rsid w:val="00952403"/>
    <w:rsid w:val="0095349E"/>
    <w:rsid w:val="00960C62"/>
    <w:rsid w:val="009646D4"/>
    <w:rsid w:val="009667F9"/>
    <w:rsid w:val="009704F7"/>
    <w:rsid w:val="00975BA3"/>
    <w:rsid w:val="0097737E"/>
    <w:rsid w:val="00982571"/>
    <w:rsid w:val="009856D3"/>
    <w:rsid w:val="00985FBB"/>
    <w:rsid w:val="009868FF"/>
    <w:rsid w:val="00990A3B"/>
    <w:rsid w:val="00991C17"/>
    <w:rsid w:val="009958DD"/>
    <w:rsid w:val="00997741"/>
    <w:rsid w:val="009B0AF0"/>
    <w:rsid w:val="009B3F26"/>
    <w:rsid w:val="009B55F0"/>
    <w:rsid w:val="009B5C06"/>
    <w:rsid w:val="009C3D0F"/>
    <w:rsid w:val="009C42E6"/>
    <w:rsid w:val="009C67DB"/>
    <w:rsid w:val="009D6987"/>
    <w:rsid w:val="009E1F43"/>
    <w:rsid w:val="009E6CF1"/>
    <w:rsid w:val="009F5ED4"/>
    <w:rsid w:val="009F62A3"/>
    <w:rsid w:val="00A022E9"/>
    <w:rsid w:val="00A05B96"/>
    <w:rsid w:val="00A06EE1"/>
    <w:rsid w:val="00A072C5"/>
    <w:rsid w:val="00A127C1"/>
    <w:rsid w:val="00A14E73"/>
    <w:rsid w:val="00A150DF"/>
    <w:rsid w:val="00A21A97"/>
    <w:rsid w:val="00A22D84"/>
    <w:rsid w:val="00A234A6"/>
    <w:rsid w:val="00A2651D"/>
    <w:rsid w:val="00A26CA7"/>
    <w:rsid w:val="00A3039B"/>
    <w:rsid w:val="00A317EA"/>
    <w:rsid w:val="00A324DA"/>
    <w:rsid w:val="00A33012"/>
    <w:rsid w:val="00A33893"/>
    <w:rsid w:val="00A363C8"/>
    <w:rsid w:val="00A37DD5"/>
    <w:rsid w:val="00A400A7"/>
    <w:rsid w:val="00A42AFB"/>
    <w:rsid w:val="00A461FE"/>
    <w:rsid w:val="00A525B6"/>
    <w:rsid w:val="00A5346C"/>
    <w:rsid w:val="00A57B98"/>
    <w:rsid w:val="00A63129"/>
    <w:rsid w:val="00A655DE"/>
    <w:rsid w:val="00A66352"/>
    <w:rsid w:val="00A66E77"/>
    <w:rsid w:val="00A74375"/>
    <w:rsid w:val="00A81E65"/>
    <w:rsid w:val="00A87113"/>
    <w:rsid w:val="00A879A2"/>
    <w:rsid w:val="00A95E18"/>
    <w:rsid w:val="00AA0724"/>
    <w:rsid w:val="00AA1382"/>
    <w:rsid w:val="00AA420E"/>
    <w:rsid w:val="00AA78F7"/>
    <w:rsid w:val="00AB336F"/>
    <w:rsid w:val="00AB343F"/>
    <w:rsid w:val="00AB3F28"/>
    <w:rsid w:val="00AC562A"/>
    <w:rsid w:val="00AC5D75"/>
    <w:rsid w:val="00AC6054"/>
    <w:rsid w:val="00AC708E"/>
    <w:rsid w:val="00AD284A"/>
    <w:rsid w:val="00AD4114"/>
    <w:rsid w:val="00AD606C"/>
    <w:rsid w:val="00AD624D"/>
    <w:rsid w:val="00AE038F"/>
    <w:rsid w:val="00AE155D"/>
    <w:rsid w:val="00AF6330"/>
    <w:rsid w:val="00AF7A04"/>
    <w:rsid w:val="00B038CA"/>
    <w:rsid w:val="00B04C76"/>
    <w:rsid w:val="00B10CFF"/>
    <w:rsid w:val="00B127A5"/>
    <w:rsid w:val="00B14E55"/>
    <w:rsid w:val="00B2430F"/>
    <w:rsid w:val="00B25BFC"/>
    <w:rsid w:val="00B2641B"/>
    <w:rsid w:val="00B33631"/>
    <w:rsid w:val="00B33656"/>
    <w:rsid w:val="00B33838"/>
    <w:rsid w:val="00B34767"/>
    <w:rsid w:val="00B40C4B"/>
    <w:rsid w:val="00B42ACF"/>
    <w:rsid w:val="00B432C8"/>
    <w:rsid w:val="00B434CF"/>
    <w:rsid w:val="00B4506C"/>
    <w:rsid w:val="00B545E1"/>
    <w:rsid w:val="00B603B7"/>
    <w:rsid w:val="00B65435"/>
    <w:rsid w:val="00B6759A"/>
    <w:rsid w:val="00B675BD"/>
    <w:rsid w:val="00B70C4A"/>
    <w:rsid w:val="00B77015"/>
    <w:rsid w:val="00B77ADC"/>
    <w:rsid w:val="00B77E07"/>
    <w:rsid w:val="00B84B51"/>
    <w:rsid w:val="00B91640"/>
    <w:rsid w:val="00BA33E5"/>
    <w:rsid w:val="00BA6323"/>
    <w:rsid w:val="00BA74AB"/>
    <w:rsid w:val="00BB10FC"/>
    <w:rsid w:val="00BB211B"/>
    <w:rsid w:val="00BB3714"/>
    <w:rsid w:val="00BB5BE8"/>
    <w:rsid w:val="00BB77D8"/>
    <w:rsid w:val="00BC2362"/>
    <w:rsid w:val="00BC33B1"/>
    <w:rsid w:val="00BC3D29"/>
    <w:rsid w:val="00BC70C6"/>
    <w:rsid w:val="00BD0693"/>
    <w:rsid w:val="00BD216F"/>
    <w:rsid w:val="00BD4A29"/>
    <w:rsid w:val="00BD59CB"/>
    <w:rsid w:val="00BE0859"/>
    <w:rsid w:val="00BE2C4A"/>
    <w:rsid w:val="00BF2EE0"/>
    <w:rsid w:val="00BF508D"/>
    <w:rsid w:val="00BF51C3"/>
    <w:rsid w:val="00C02A81"/>
    <w:rsid w:val="00C05D8B"/>
    <w:rsid w:val="00C11858"/>
    <w:rsid w:val="00C1318B"/>
    <w:rsid w:val="00C13973"/>
    <w:rsid w:val="00C20480"/>
    <w:rsid w:val="00C23469"/>
    <w:rsid w:val="00C241CC"/>
    <w:rsid w:val="00C2732A"/>
    <w:rsid w:val="00C31F96"/>
    <w:rsid w:val="00C34A77"/>
    <w:rsid w:val="00C41D69"/>
    <w:rsid w:val="00C476F1"/>
    <w:rsid w:val="00C47E5E"/>
    <w:rsid w:val="00C504A3"/>
    <w:rsid w:val="00C53F93"/>
    <w:rsid w:val="00C571F6"/>
    <w:rsid w:val="00C61E67"/>
    <w:rsid w:val="00C63C30"/>
    <w:rsid w:val="00C63D66"/>
    <w:rsid w:val="00C640EE"/>
    <w:rsid w:val="00C661D8"/>
    <w:rsid w:val="00C715E3"/>
    <w:rsid w:val="00C76620"/>
    <w:rsid w:val="00C76F2E"/>
    <w:rsid w:val="00C77351"/>
    <w:rsid w:val="00C77987"/>
    <w:rsid w:val="00C80F48"/>
    <w:rsid w:val="00C81901"/>
    <w:rsid w:val="00C83304"/>
    <w:rsid w:val="00C86F8A"/>
    <w:rsid w:val="00C87007"/>
    <w:rsid w:val="00C90484"/>
    <w:rsid w:val="00C90648"/>
    <w:rsid w:val="00C90B04"/>
    <w:rsid w:val="00C92C62"/>
    <w:rsid w:val="00C93660"/>
    <w:rsid w:val="00CA2F22"/>
    <w:rsid w:val="00CA780E"/>
    <w:rsid w:val="00CB15CD"/>
    <w:rsid w:val="00CB15DA"/>
    <w:rsid w:val="00CB1F04"/>
    <w:rsid w:val="00CB5723"/>
    <w:rsid w:val="00CB6351"/>
    <w:rsid w:val="00CB7069"/>
    <w:rsid w:val="00CC03BC"/>
    <w:rsid w:val="00CC177C"/>
    <w:rsid w:val="00CC31A1"/>
    <w:rsid w:val="00CC335D"/>
    <w:rsid w:val="00CD0090"/>
    <w:rsid w:val="00CD3683"/>
    <w:rsid w:val="00CE27B1"/>
    <w:rsid w:val="00CE6E55"/>
    <w:rsid w:val="00CF1486"/>
    <w:rsid w:val="00CF28CB"/>
    <w:rsid w:val="00D00859"/>
    <w:rsid w:val="00D01F0F"/>
    <w:rsid w:val="00D067CF"/>
    <w:rsid w:val="00D07D73"/>
    <w:rsid w:val="00D1001A"/>
    <w:rsid w:val="00D121BC"/>
    <w:rsid w:val="00D126A6"/>
    <w:rsid w:val="00D13F5A"/>
    <w:rsid w:val="00D1492B"/>
    <w:rsid w:val="00D165E7"/>
    <w:rsid w:val="00D17DFF"/>
    <w:rsid w:val="00D23FB2"/>
    <w:rsid w:val="00D27A1A"/>
    <w:rsid w:val="00D30414"/>
    <w:rsid w:val="00D32F60"/>
    <w:rsid w:val="00D337A1"/>
    <w:rsid w:val="00D35F0C"/>
    <w:rsid w:val="00D36487"/>
    <w:rsid w:val="00D429AE"/>
    <w:rsid w:val="00D43372"/>
    <w:rsid w:val="00D50327"/>
    <w:rsid w:val="00D525DD"/>
    <w:rsid w:val="00D55840"/>
    <w:rsid w:val="00D56151"/>
    <w:rsid w:val="00D564F0"/>
    <w:rsid w:val="00D62F89"/>
    <w:rsid w:val="00D81586"/>
    <w:rsid w:val="00D81B7C"/>
    <w:rsid w:val="00D82335"/>
    <w:rsid w:val="00D82E7D"/>
    <w:rsid w:val="00D82E92"/>
    <w:rsid w:val="00D83284"/>
    <w:rsid w:val="00D904D7"/>
    <w:rsid w:val="00D9328C"/>
    <w:rsid w:val="00D934A4"/>
    <w:rsid w:val="00D96505"/>
    <w:rsid w:val="00DA165D"/>
    <w:rsid w:val="00DA758F"/>
    <w:rsid w:val="00DA7B8C"/>
    <w:rsid w:val="00DB1D19"/>
    <w:rsid w:val="00DB6E3F"/>
    <w:rsid w:val="00DC4686"/>
    <w:rsid w:val="00DC56FB"/>
    <w:rsid w:val="00DC61B9"/>
    <w:rsid w:val="00DC7EDC"/>
    <w:rsid w:val="00DC7F90"/>
    <w:rsid w:val="00DD5A30"/>
    <w:rsid w:val="00DD7618"/>
    <w:rsid w:val="00DE3AC1"/>
    <w:rsid w:val="00E02FF2"/>
    <w:rsid w:val="00E0635F"/>
    <w:rsid w:val="00E12AFE"/>
    <w:rsid w:val="00E1391A"/>
    <w:rsid w:val="00E167D1"/>
    <w:rsid w:val="00E17743"/>
    <w:rsid w:val="00E17A6E"/>
    <w:rsid w:val="00E20C12"/>
    <w:rsid w:val="00E210DA"/>
    <w:rsid w:val="00E21BE4"/>
    <w:rsid w:val="00E43639"/>
    <w:rsid w:val="00E437CD"/>
    <w:rsid w:val="00E43859"/>
    <w:rsid w:val="00E560A8"/>
    <w:rsid w:val="00E5612B"/>
    <w:rsid w:val="00E61B16"/>
    <w:rsid w:val="00E62A5C"/>
    <w:rsid w:val="00E656A3"/>
    <w:rsid w:val="00E66548"/>
    <w:rsid w:val="00E72817"/>
    <w:rsid w:val="00E72D40"/>
    <w:rsid w:val="00E72EB4"/>
    <w:rsid w:val="00E75E6E"/>
    <w:rsid w:val="00E75FD5"/>
    <w:rsid w:val="00EA223B"/>
    <w:rsid w:val="00EA33A9"/>
    <w:rsid w:val="00EC238E"/>
    <w:rsid w:val="00EC4862"/>
    <w:rsid w:val="00ED186E"/>
    <w:rsid w:val="00ED716D"/>
    <w:rsid w:val="00EE5522"/>
    <w:rsid w:val="00EE7082"/>
    <w:rsid w:val="00EF2D50"/>
    <w:rsid w:val="00EF31BB"/>
    <w:rsid w:val="00EF4A46"/>
    <w:rsid w:val="00F13D0C"/>
    <w:rsid w:val="00F13ED4"/>
    <w:rsid w:val="00F27FEB"/>
    <w:rsid w:val="00F315CB"/>
    <w:rsid w:val="00F31CAC"/>
    <w:rsid w:val="00F36053"/>
    <w:rsid w:val="00F432D4"/>
    <w:rsid w:val="00F443C0"/>
    <w:rsid w:val="00F47610"/>
    <w:rsid w:val="00F5570A"/>
    <w:rsid w:val="00F574A8"/>
    <w:rsid w:val="00F611E7"/>
    <w:rsid w:val="00F618D3"/>
    <w:rsid w:val="00F61A92"/>
    <w:rsid w:val="00F62D43"/>
    <w:rsid w:val="00F6321E"/>
    <w:rsid w:val="00F6460C"/>
    <w:rsid w:val="00F65C9F"/>
    <w:rsid w:val="00F7009A"/>
    <w:rsid w:val="00F727FF"/>
    <w:rsid w:val="00F762CA"/>
    <w:rsid w:val="00F76A24"/>
    <w:rsid w:val="00F91061"/>
    <w:rsid w:val="00F93451"/>
    <w:rsid w:val="00F937F7"/>
    <w:rsid w:val="00F96000"/>
    <w:rsid w:val="00FA0284"/>
    <w:rsid w:val="00FA699C"/>
    <w:rsid w:val="00FA6C64"/>
    <w:rsid w:val="00FB05F9"/>
    <w:rsid w:val="00FB2E49"/>
    <w:rsid w:val="00FB4207"/>
    <w:rsid w:val="00FB4509"/>
    <w:rsid w:val="00FB4F62"/>
    <w:rsid w:val="00FB7CA4"/>
    <w:rsid w:val="00FC4ECB"/>
    <w:rsid w:val="00FD7BCD"/>
    <w:rsid w:val="00FE5712"/>
    <w:rsid w:val="00FE5950"/>
    <w:rsid w:val="00FE6D61"/>
    <w:rsid w:val="00FE7D70"/>
    <w:rsid w:val="00FF2B8A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0AA45FD-5F5C-4AFD-9760-515D1C99C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99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0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D1B035-3159-4F72-BD46-161DBA971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5</Pages>
  <Words>1232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Subdirección de Habilitación, 11  de ENERO de 2007</vt:lpstr>
    </vt:vector>
  </TitlesOfParts>
  <Company>Gobierno de Mendoza</Company>
  <LinksUpToDate>false</LinksUpToDate>
  <CharactersWithSpaces>7995</CharactersWithSpaces>
  <SharedDoc>false</SharedDoc>
  <HLinks>
    <vt:vector size="6" baseType="variant">
      <vt:variant>
        <vt:i4>7340043</vt:i4>
      </vt:variant>
      <vt:variant>
        <vt:i4>0</vt:i4>
      </vt:variant>
      <vt:variant>
        <vt:i4>0</vt:i4>
      </vt:variant>
      <vt:variant>
        <vt:i4>5</vt:i4>
      </vt:variant>
      <vt:variant>
        <vt:lpwstr>mailto:efuligna@mendoza.gov.ar%20%20%20%20%20%20%20%20www.hacienda.mendoza.gov.ar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Subdirección de Habilitación, 11  de ENERO de 2007</dc:title>
  <dc:creator>Ministerio de Hacienda</dc:creator>
  <cp:lastModifiedBy>EMartinez</cp:lastModifiedBy>
  <cp:revision>11</cp:revision>
  <cp:lastPrinted>2025-08-28T14:34:00Z</cp:lastPrinted>
  <dcterms:created xsi:type="dcterms:W3CDTF">2025-08-25T16:22:00Z</dcterms:created>
  <dcterms:modified xsi:type="dcterms:W3CDTF">2025-08-28T16:03:00Z</dcterms:modified>
</cp:coreProperties>
</file>