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4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2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2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31"/>
        <w:gridCol w:w="513"/>
        <w:gridCol w:w="513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15E0B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FB6096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3410D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410DC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9738E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2"/>
        <w:jc w:val="both"/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E86B42">
        <w:rPr>
          <w:rFonts w:ascii="Arial" w:hAnsi="Arial" w:cs="Arial"/>
        </w:rPr>
        <w:t>: No existen diferencias entre lo programado y lo ejecutado.</w:t>
      </w:r>
    </w:p>
    <w:p w:rsidR="00FB6096" w:rsidRDefault="00FB6096" w:rsidP="00FB6096">
      <w:pPr>
        <w:pStyle w:val="Norma2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3410DC">
        <w:rPr>
          <w:rFonts w:ascii="Arial" w:hAnsi="Arial" w:cs="Arial"/>
        </w:rPr>
        <w:t xml:space="preserve"> Teniendo en cuenta que la planificación financiera se realiza en base al Presupuesto votado, el gasto corriente se distribuyó de modo semejante a la ejecución del año anterior, quedando este primer trimestre con un nivel de ejecuc</w:t>
      </w:r>
      <w:r w:rsidR="00726D8D">
        <w:rPr>
          <w:rFonts w:ascii="Arial" w:hAnsi="Arial" w:cs="Arial"/>
        </w:rPr>
        <w:t xml:space="preserve">ión por debajo de lo previsto. </w:t>
      </w:r>
      <w:r w:rsidR="00421645">
        <w:rPr>
          <w:rFonts w:ascii="Arial" w:hAnsi="Arial" w:cs="Arial"/>
        </w:rPr>
        <w:t>La causa principal se debió a partidas de crédito presupuestario con Reservas, que imposibilitaron avanzar con distintas contrataciones y planificaciones.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2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E22A0F">
        <w:rPr>
          <w:rFonts w:ascii="Arial" w:hAnsi="Arial" w:cs="Arial"/>
        </w:rPr>
        <w:t xml:space="preserve">Durante el presente trimestre </w:t>
      </w:r>
      <w:r w:rsidR="00E86B42">
        <w:rPr>
          <w:rFonts w:ascii="Arial" w:hAnsi="Arial" w:cs="Arial"/>
        </w:rPr>
        <w:t>no hay Recursos Figurativos</w:t>
      </w:r>
      <w:r w:rsidR="00E22A0F">
        <w:rPr>
          <w:rFonts w:ascii="Arial" w:hAnsi="Arial" w:cs="Arial"/>
        </w:rPr>
        <w:t xml:space="preserve"> programados, </w:t>
      </w:r>
      <w:bookmarkStart w:id="0" w:name="_GoBack"/>
      <w:bookmarkEnd w:id="0"/>
      <w:r w:rsidR="00E22A0F">
        <w:rPr>
          <w:rFonts w:ascii="Arial" w:hAnsi="Arial" w:cs="Arial"/>
        </w:rPr>
        <w:t>por lo que no existen medidas correctivas que aplicar.</w:t>
      </w:r>
    </w:p>
    <w:p w:rsidR="00FB6096" w:rsidRDefault="00FB6096" w:rsidP="00FB6096">
      <w:pPr>
        <w:pStyle w:val="Norma2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4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8E" w:rsidRDefault="0059738E">
      <w:pPr>
        <w:pStyle w:val="Norma4"/>
      </w:pPr>
      <w:r>
        <w:separator/>
      </w:r>
    </w:p>
  </w:endnote>
  <w:endnote w:type="continuationSeparator" w:id="0">
    <w:p w:rsidR="0059738E" w:rsidRDefault="0059738E">
      <w:pPr>
        <w:pStyle w:val="Norm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59738E" w:rsidRDefault="0059738E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8E" w:rsidRDefault="0059738E">
      <w:pPr>
        <w:pStyle w:val="Norma4"/>
      </w:pPr>
      <w:r>
        <w:separator/>
      </w:r>
    </w:p>
  </w:footnote>
  <w:footnote w:type="continuationSeparator" w:id="0">
    <w:p w:rsidR="0059738E" w:rsidRDefault="0059738E">
      <w:pPr>
        <w:pStyle w:val="Norm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Pr="00543099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32901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15E0B"/>
    <w:rsid w:val="003410DC"/>
    <w:rsid w:val="00367754"/>
    <w:rsid w:val="0037711B"/>
    <w:rsid w:val="00380391"/>
    <w:rsid w:val="00394CB7"/>
    <w:rsid w:val="003954EE"/>
    <w:rsid w:val="003A693D"/>
    <w:rsid w:val="003E7CE2"/>
    <w:rsid w:val="00421645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91548"/>
    <w:rsid w:val="0059738E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17934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6D8D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22A0F"/>
    <w:rsid w:val="00E31A42"/>
    <w:rsid w:val="00E4357B"/>
    <w:rsid w:val="00E46A0D"/>
    <w:rsid w:val="00E74C43"/>
    <w:rsid w:val="00E77CB7"/>
    <w:rsid w:val="00E84919"/>
    <w:rsid w:val="00E86B42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6B48-9410-49CF-BD42-962EA322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169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16</cp:revision>
  <cp:lastPrinted>2015-12-28T16:54:00Z</cp:lastPrinted>
  <dcterms:created xsi:type="dcterms:W3CDTF">2024-05-09T11:57:00Z</dcterms:created>
  <dcterms:modified xsi:type="dcterms:W3CDTF">2025-05-15T14:02:00Z</dcterms:modified>
</cp:coreProperties>
</file>