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54A" w:rsidRDefault="000A454A">
      <w:pPr>
        <w:tabs>
          <w:tab w:val="left" w:pos="-1440"/>
          <w:tab w:val="left" w:pos="-720"/>
        </w:tabs>
        <w:spacing w:line="360" w:lineRule="auto"/>
        <w:jc w:val="both"/>
        <w:rPr>
          <w:lang w:val="es-ES_tradnl"/>
        </w:rPr>
      </w:pPr>
    </w:p>
    <w:p w:rsidR="004D5A1B" w:rsidRDefault="004D5A1B" w:rsidP="004D5A1B">
      <w:pPr>
        <w:jc w:val="center"/>
        <w:rPr>
          <w:b/>
          <w:lang w:val="es-MX"/>
        </w:rPr>
      </w:pPr>
      <w:r>
        <w:rPr>
          <w:b/>
          <w:lang w:val="es-MX"/>
        </w:rPr>
        <w:t>ACUERDO N° 3949</w:t>
      </w:r>
    </w:p>
    <w:p w:rsidR="004D5A1B" w:rsidRDefault="004D5A1B" w:rsidP="004D5A1B">
      <w:pPr>
        <w:jc w:val="both"/>
        <w:rPr>
          <w:b/>
          <w:lang w:val="es-MX"/>
        </w:rPr>
      </w:pPr>
    </w:p>
    <w:p w:rsidR="004D5A1B" w:rsidRDefault="004D5A1B" w:rsidP="004D5A1B">
      <w:pPr>
        <w:jc w:val="center"/>
        <w:rPr>
          <w:b/>
          <w:lang w:val="es-MX"/>
        </w:rPr>
      </w:pPr>
      <w:r w:rsidRPr="00C901ED">
        <w:rPr>
          <w:b/>
          <w:lang w:val="es-MX"/>
        </w:rPr>
        <w:t xml:space="preserve">ANEXO 30: ART. 5 </w:t>
      </w:r>
      <w:proofErr w:type="spellStart"/>
      <w:r w:rsidRPr="00C901ED">
        <w:rPr>
          <w:b/>
          <w:lang w:val="es-MX"/>
        </w:rPr>
        <w:t>Inc</w:t>
      </w:r>
      <w:proofErr w:type="spellEnd"/>
      <w:r w:rsidRPr="00C901ED">
        <w:rPr>
          <w:b/>
          <w:lang w:val="es-MX"/>
        </w:rPr>
        <w:t xml:space="preserve"> d)</w:t>
      </w:r>
    </w:p>
    <w:p w:rsidR="004D5A1B" w:rsidRDefault="004D5A1B" w:rsidP="004D5A1B">
      <w:pPr>
        <w:jc w:val="center"/>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Repartición/Organismo:   Poder Judicial de Mendoza</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r>
        <w:rPr>
          <w:b/>
          <w:lang w:val="es-MX"/>
        </w:rPr>
        <w:t>Nomenclador:    Carácter 01; Jurisdicción 02 (no incluye Ministerio Público Fiscal)</w:t>
      </w:r>
    </w:p>
    <w:p w:rsidR="004D5A1B" w:rsidRDefault="004D5A1B" w:rsidP="004D5A1B">
      <w:pPr>
        <w:pBdr>
          <w:top w:val="single" w:sz="4" w:space="1" w:color="auto"/>
          <w:left w:val="single" w:sz="4" w:space="4" w:color="auto"/>
          <w:bottom w:val="single" w:sz="4" w:space="1" w:color="auto"/>
          <w:right w:val="single" w:sz="4" w:space="4" w:color="auto"/>
        </w:pBdr>
        <w:jc w:val="both"/>
        <w:rPr>
          <w:b/>
          <w:lang w:val="es-MX"/>
        </w:rPr>
      </w:pPr>
    </w:p>
    <w:p w:rsidR="004D5A1B" w:rsidRDefault="0016323C" w:rsidP="006A01FE">
      <w:pPr>
        <w:pBdr>
          <w:top w:val="single" w:sz="4" w:space="1" w:color="auto"/>
          <w:left w:val="single" w:sz="4" w:space="4" w:color="auto"/>
          <w:bottom w:val="single" w:sz="4" w:space="1" w:color="auto"/>
          <w:right w:val="single" w:sz="4" w:space="4" w:color="auto"/>
        </w:pBdr>
        <w:jc w:val="both"/>
        <w:rPr>
          <w:lang w:val="es-MX"/>
        </w:rPr>
      </w:pPr>
      <w:r>
        <w:rPr>
          <w:b/>
          <w:lang w:val="es-MX"/>
        </w:rPr>
        <w:t>Ejercicio: 202</w:t>
      </w:r>
      <w:r w:rsidR="00544609">
        <w:rPr>
          <w:b/>
          <w:lang w:val="es-MX"/>
        </w:rPr>
        <w:t>4</w:t>
      </w:r>
      <w:r w:rsidR="00544609">
        <w:rPr>
          <w:b/>
          <w:lang w:val="es-MX"/>
        </w:rPr>
        <w:tab/>
      </w:r>
      <w:r w:rsidR="004D5A1B">
        <w:rPr>
          <w:b/>
          <w:lang w:val="es-MX"/>
        </w:rPr>
        <w:t xml:space="preserve">                                                 Trimestre:</w:t>
      </w:r>
      <w:r w:rsidR="000708ED">
        <w:rPr>
          <w:b/>
          <w:lang w:val="es-MX"/>
        </w:rPr>
        <w:t xml:space="preserve"> </w:t>
      </w:r>
      <w:r w:rsidR="00DA5BB2">
        <w:rPr>
          <w:b/>
          <w:lang w:val="es-MX"/>
        </w:rPr>
        <w:t>SEGUNDO</w:t>
      </w:r>
    </w:p>
    <w:p w:rsidR="004D5A1B" w:rsidRPr="007C44A0" w:rsidRDefault="004D5A1B" w:rsidP="004D5A1B">
      <w:pPr>
        <w:tabs>
          <w:tab w:val="left" w:pos="4680"/>
        </w:tabs>
        <w:spacing w:line="360" w:lineRule="auto"/>
        <w:jc w:val="both"/>
        <w:rPr>
          <w:rFonts w:ascii="Arial" w:hAnsi="Arial" w:cs="Arial"/>
          <w:b/>
          <w:bCs/>
          <w:sz w:val="16"/>
          <w:szCs w:val="16"/>
        </w:rPr>
      </w:pPr>
    </w:p>
    <w:p w:rsidR="006A01FE" w:rsidRDefault="006A01FE" w:rsidP="004D5A1B">
      <w:pPr>
        <w:autoSpaceDE w:val="0"/>
        <w:autoSpaceDN w:val="0"/>
        <w:adjustRightInd w:val="0"/>
        <w:spacing w:line="360" w:lineRule="auto"/>
        <w:jc w:val="both"/>
        <w:rPr>
          <w:lang w:val="es-MX"/>
        </w:rPr>
      </w:pPr>
    </w:p>
    <w:p w:rsidR="004D5A1B" w:rsidRDefault="004D5A1B" w:rsidP="004D5A1B">
      <w:pPr>
        <w:autoSpaceDE w:val="0"/>
        <w:autoSpaceDN w:val="0"/>
        <w:adjustRightInd w:val="0"/>
        <w:spacing w:line="360" w:lineRule="auto"/>
        <w:jc w:val="both"/>
        <w:rPr>
          <w:b/>
          <w:bCs/>
        </w:rPr>
      </w:pPr>
      <w:r w:rsidRPr="00F72F10">
        <w:rPr>
          <w:lang w:val="es-MX"/>
        </w:rPr>
        <w:t xml:space="preserve">GASTOS CORRIENTES y DE CAPITAL: </w:t>
      </w:r>
      <w:r w:rsidRPr="00F72F10">
        <w:rPr>
          <w:b/>
          <w:bCs/>
        </w:rPr>
        <w:t xml:space="preserve">Información Artículo  27 Ley 7.314 y 5° </w:t>
      </w:r>
      <w:proofErr w:type="spellStart"/>
      <w:r w:rsidRPr="00F72F10">
        <w:rPr>
          <w:b/>
          <w:bCs/>
        </w:rPr>
        <w:t>inc</w:t>
      </w:r>
      <w:proofErr w:type="spellEnd"/>
      <w:r w:rsidRPr="00F72F10">
        <w:rPr>
          <w:b/>
          <w:bCs/>
        </w:rPr>
        <w:t xml:space="preserve"> d) Acuerdo 3949 y su </w:t>
      </w:r>
      <w:proofErr w:type="spellStart"/>
      <w:r w:rsidRPr="00F72F10">
        <w:rPr>
          <w:b/>
          <w:bCs/>
        </w:rPr>
        <w:t>modifc</w:t>
      </w:r>
      <w:proofErr w:type="spellEnd"/>
      <w:r w:rsidRPr="00F72F10">
        <w:rPr>
          <w:b/>
          <w:bCs/>
        </w:rPr>
        <w:t xml:space="preserve">. 4.559 – Desvíos: </w:t>
      </w:r>
    </w:p>
    <w:p w:rsidR="00CA2C5B" w:rsidRDefault="00CA2C5B" w:rsidP="00CA2C5B">
      <w:pPr>
        <w:spacing w:line="360" w:lineRule="auto"/>
        <w:jc w:val="both"/>
      </w:pPr>
      <w:r w:rsidRPr="0016323C">
        <w:t>En lo que respecta a las partidas corrientes, los desvíos se registran principalmente en la partida de personal permanente debido a los aumentos salariales otorgados por los diversos acuerdos paritarios para el presente ejercicio, cuyo mayor costo deberá ser cubierto con refuerzos presupuestarias de Rentas Generales por el Poder Ejecutivo.</w:t>
      </w:r>
      <w:r>
        <w:t xml:space="preserve"> </w:t>
      </w:r>
    </w:p>
    <w:p w:rsidR="00544609" w:rsidRDefault="00544609" w:rsidP="00CA2C5B">
      <w:pPr>
        <w:spacing w:line="360" w:lineRule="auto"/>
        <w:jc w:val="both"/>
      </w:pPr>
      <w:r>
        <w:t xml:space="preserve">A su vez, en lo que respecta a los gastos corrientes es de esperar que lo ejecutado supere lo presupuestado teniendo en cuenta que las premisas utilizadas el año pasado para realizar la programación financiera no contemplaban la devaluación e inflación sufrida a fines del año pasado y principios de éste. </w:t>
      </w:r>
    </w:p>
    <w:p w:rsidR="004D5A1B" w:rsidRPr="00544609" w:rsidRDefault="00544609" w:rsidP="00544609">
      <w:pPr>
        <w:spacing w:line="360" w:lineRule="auto"/>
        <w:jc w:val="both"/>
      </w:pPr>
      <w:r w:rsidRPr="00544609">
        <w:t>Con relación a los gastos de Capital se espera también una situación similar a la anterior teniendo en cuenta que la mayoría de las inversiones en curso se ven afectadas por diferencias de cotización</w:t>
      </w:r>
      <w:r>
        <w:t xml:space="preserve"> o de precios, desviaciones que no pudieron ser contempladas al momento de elaborar el Presupuesto 2024. </w:t>
      </w:r>
      <w:r w:rsidRPr="00544609">
        <w:t xml:space="preserve"> </w:t>
      </w:r>
    </w:p>
    <w:p w:rsidR="00544609" w:rsidRPr="00544609" w:rsidRDefault="00544609" w:rsidP="004D5A1B">
      <w:pPr>
        <w:jc w:val="both"/>
      </w:pPr>
    </w:p>
    <w:p w:rsidR="004D5A1B" w:rsidRDefault="004D5A1B" w:rsidP="004D5A1B">
      <w:pPr>
        <w:tabs>
          <w:tab w:val="left" w:pos="4680"/>
        </w:tabs>
        <w:spacing w:line="360" w:lineRule="auto"/>
        <w:jc w:val="both"/>
        <w:rPr>
          <w:rFonts w:ascii="Arial" w:hAnsi="Arial" w:cs="Arial"/>
          <w:b/>
          <w:bCs/>
          <w:sz w:val="16"/>
          <w:szCs w:val="16"/>
        </w:rPr>
      </w:pPr>
    </w:p>
    <w:p w:rsidR="00C828D4" w:rsidRDefault="004D5A1B" w:rsidP="004D5A1B">
      <w:pPr>
        <w:tabs>
          <w:tab w:val="left" w:pos="4680"/>
        </w:tabs>
        <w:spacing w:line="360" w:lineRule="auto"/>
        <w:jc w:val="both"/>
        <w:rPr>
          <w:rFonts w:ascii="Arial" w:hAnsi="Arial" w:cs="Arial"/>
          <w:b/>
          <w:bCs/>
          <w:sz w:val="16"/>
          <w:szCs w:val="16"/>
        </w:rPr>
      </w:pPr>
      <w:r>
        <w:rPr>
          <w:rFonts w:ascii="Arial" w:hAnsi="Arial" w:cs="Arial"/>
          <w:b/>
          <w:bCs/>
          <w:sz w:val="16"/>
          <w:szCs w:val="16"/>
        </w:rPr>
        <w:t>DIRECCION DE CONTABILI</w:t>
      </w:r>
      <w:r w:rsidR="00C828D4">
        <w:rPr>
          <w:rFonts w:ascii="Arial" w:hAnsi="Arial" w:cs="Arial"/>
          <w:b/>
          <w:bCs/>
          <w:sz w:val="16"/>
          <w:szCs w:val="16"/>
        </w:rPr>
        <w:t>DAD Y FINANZAS</w:t>
      </w:r>
    </w:p>
    <w:p w:rsidR="004D5A1B" w:rsidRDefault="00C828D4" w:rsidP="004D5A1B">
      <w:pPr>
        <w:tabs>
          <w:tab w:val="left" w:pos="4680"/>
        </w:tabs>
        <w:spacing w:line="360" w:lineRule="auto"/>
        <w:jc w:val="both"/>
        <w:rPr>
          <w:lang w:val="es-MX"/>
        </w:rPr>
      </w:pPr>
      <w:r>
        <w:rPr>
          <w:rFonts w:ascii="Arial" w:hAnsi="Arial" w:cs="Arial"/>
          <w:b/>
          <w:bCs/>
          <w:sz w:val="16"/>
          <w:szCs w:val="16"/>
        </w:rPr>
        <w:t>Mendoza</w:t>
      </w:r>
      <w:r w:rsidR="00C517EB">
        <w:rPr>
          <w:rFonts w:ascii="Arial" w:hAnsi="Arial" w:cs="Arial"/>
          <w:b/>
          <w:bCs/>
          <w:sz w:val="16"/>
          <w:szCs w:val="16"/>
        </w:rPr>
        <w:t>,</w:t>
      </w:r>
      <w:r w:rsidR="00CA2C5B">
        <w:rPr>
          <w:rFonts w:ascii="Arial" w:hAnsi="Arial" w:cs="Arial"/>
          <w:b/>
          <w:bCs/>
          <w:sz w:val="16"/>
          <w:szCs w:val="16"/>
        </w:rPr>
        <w:t xml:space="preserve"> </w:t>
      </w:r>
      <w:r w:rsidR="00DA5BB2">
        <w:rPr>
          <w:rFonts w:ascii="Arial" w:hAnsi="Arial" w:cs="Arial"/>
          <w:b/>
          <w:bCs/>
          <w:sz w:val="16"/>
          <w:szCs w:val="16"/>
        </w:rPr>
        <w:t>Agosto</w:t>
      </w:r>
      <w:bookmarkStart w:id="0" w:name="_GoBack"/>
      <w:bookmarkEnd w:id="0"/>
      <w:r w:rsidR="00C517EB">
        <w:rPr>
          <w:rFonts w:ascii="Arial" w:hAnsi="Arial" w:cs="Arial"/>
          <w:b/>
          <w:bCs/>
          <w:sz w:val="16"/>
          <w:szCs w:val="16"/>
        </w:rPr>
        <w:t xml:space="preserve"> </w:t>
      </w:r>
      <w:r w:rsidR="004D5A1B">
        <w:rPr>
          <w:rFonts w:ascii="Arial" w:hAnsi="Arial" w:cs="Arial"/>
          <w:b/>
          <w:bCs/>
          <w:sz w:val="16"/>
          <w:szCs w:val="16"/>
        </w:rPr>
        <w:t>20</w:t>
      </w:r>
      <w:r w:rsidR="006A01FE">
        <w:rPr>
          <w:rFonts w:ascii="Arial" w:hAnsi="Arial" w:cs="Arial"/>
          <w:b/>
          <w:bCs/>
          <w:sz w:val="16"/>
          <w:szCs w:val="16"/>
        </w:rPr>
        <w:t>2</w:t>
      </w:r>
      <w:r w:rsidR="00CA2C5B">
        <w:rPr>
          <w:rFonts w:ascii="Arial" w:hAnsi="Arial" w:cs="Arial"/>
          <w:b/>
          <w:bCs/>
          <w:sz w:val="16"/>
          <w:szCs w:val="16"/>
        </w:rPr>
        <w:t>4</w:t>
      </w:r>
      <w:r w:rsidR="004D5A1B">
        <w:rPr>
          <w:lang w:val="es-MX"/>
        </w:rPr>
        <w:t xml:space="preserve"> </w:t>
      </w:r>
    </w:p>
    <w:p w:rsidR="004D5A1B" w:rsidRPr="006471E2" w:rsidRDefault="004D5A1B" w:rsidP="004D5A1B">
      <w:pPr>
        <w:rPr>
          <w:lang w:val="es-MX"/>
        </w:rPr>
      </w:pPr>
    </w:p>
    <w:p w:rsidR="0071517C" w:rsidRPr="004D5A1B" w:rsidRDefault="0071517C" w:rsidP="004D5A1B">
      <w:pPr>
        <w:jc w:val="center"/>
        <w:rPr>
          <w:rFonts w:ascii="Arial" w:hAnsi="Arial" w:cs="Arial"/>
          <w:b/>
          <w:bCs/>
          <w:sz w:val="16"/>
          <w:szCs w:val="16"/>
          <w:lang w:val="es-MX"/>
        </w:rPr>
      </w:pPr>
    </w:p>
    <w:sectPr w:rsidR="0071517C" w:rsidRPr="004D5A1B" w:rsidSect="0071517C">
      <w:headerReference w:type="default" r:id="rId7"/>
      <w:footerReference w:type="default" r:id="rId8"/>
      <w:pgSz w:w="12240" w:h="20160" w:code="5"/>
      <w:pgMar w:top="2835" w:right="1134" w:bottom="1701" w:left="2835" w:header="567" w:footer="567"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662" w:rsidRDefault="00AE3662">
      <w:r>
        <w:separator/>
      </w:r>
    </w:p>
  </w:endnote>
  <w:endnote w:type="continuationSeparator" w:id="0">
    <w:p w:rsidR="00AE3662" w:rsidRDefault="00AE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62" w:rsidRDefault="00AE3662">
    <w:pPr>
      <w:spacing w:before="140" w:line="100" w:lineRule="exact"/>
      <w:rPr>
        <w:sz w:val="10"/>
        <w:szCs w:val="10"/>
      </w:rPr>
    </w:pPr>
  </w:p>
  <w:p w:rsidR="00AE3662" w:rsidRDefault="00AE3662">
    <w:pPr>
      <w:tabs>
        <w:tab w:val="right" w:pos="9069"/>
      </w:tabs>
      <w:suppressAutoHyphens/>
      <w:spacing w:line="312" w:lineRule="atLeast"/>
      <w:jc w:val="both"/>
      <w:rPr>
        <w:u w:val="double"/>
        <w:lang w:val="es-ES_tradnl"/>
      </w:rPr>
    </w:pPr>
    <w:r>
      <w:rPr>
        <w:lang w:val="es-ES_tradn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662" w:rsidRDefault="00AE3662">
      <w:r>
        <w:separator/>
      </w:r>
    </w:p>
  </w:footnote>
  <w:footnote w:type="continuationSeparator" w:id="0">
    <w:p w:rsidR="00AE3662" w:rsidRDefault="00AE3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662" w:rsidRDefault="00AE3662">
    <w:pPr>
      <w:pStyle w:val="Encabezado"/>
      <w:tabs>
        <w:tab w:val="clear" w:pos="4419"/>
        <w:tab w:val="clear" w:pos="8838"/>
        <w:tab w:val="left" w:pos="-720"/>
      </w:tabs>
      <w:suppressAutoHyphens/>
      <w:rPr>
        <w:sz w:val="20"/>
      </w:rPr>
    </w:pPr>
    <w:r>
      <w:rPr>
        <w:noProof/>
        <w:sz w:val="20"/>
        <w:lang w:val="es-AR" w:eastAsia="es-AR"/>
      </w:rPr>
      <w:drawing>
        <wp:inline distT="0" distB="0" distL="0" distR="0">
          <wp:extent cx="3648075" cy="933450"/>
          <wp:effectExtent l="0" t="0" r="9525" b="0"/>
          <wp:docPr id="1" name="Imagen 1" descr="0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73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8075" cy="933450"/>
                  </a:xfrm>
                  <a:prstGeom prst="rect">
                    <a:avLst/>
                  </a:prstGeom>
                  <a:noFill/>
                  <a:ln>
                    <a:noFill/>
                  </a:ln>
                </pic:spPr>
              </pic:pic>
            </a:graphicData>
          </a:graphic>
        </wp:inline>
      </w:drawing>
    </w:r>
  </w:p>
  <w:p w:rsidR="00AE3662" w:rsidRDefault="00AE3662">
    <w:pPr>
      <w:pStyle w:val="Encabezado"/>
      <w:tabs>
        <w:tab w:val="clear" w:pos="4419"/>
        <w:tab w:val="clear" w:pos="8838"/>
        <w:tab w:val="left" w:pos="-720"/>
      </w:tabs>
      <w:suppressAutoHyphens/>
      <w:rPr>
        <w:sz w:val="20"/>
      </w:rPr>
    </w:pPr>
  </w:p>
  <w:p w:rsidR="00AE3662" w:rsidRDefault="00AE3662">
    <w:pPr>
      <w:pStyle w:val="Encabezado"/>
      <w:tabs>
        <w:tab w:val="clear" w:pos="4419"/>
        <w:tab w:val="clear" w:pos="8838"/>
        <w:tab w:val="left" w:pos="-720"/>
      </w:tabs>
      <w:suppressAutoHyphens/>
      <w:rPr>
        <w:sz w:val="20"/>
      </w:rPr>
    </w:pPr>
  </w:p>
  <w:p w:rsidR="00AE3662" w:rsidRDefault="00AE3662">
    <w:pPr>
      <w:pStyle w:val="Encabezado"/>
      <w:tabs>
        <w:tab w:val="clear" w:pos="4419"/>
        <w:tab w:val="clear" w:pos="8838"/>
        <w:tab w:val="left" w:pos="-720"/>
      </w:tabs>
      <w:suppressAutoHyphens/>
    </w:pPr>
  </w:p>
  <w:p w:rsidR="00AE3662" w:rsidRDefault="00AE3662">
    <w:pPr>
      <w:pStyle w:val="Encabezado"/>
      <w:tabs>
        <w:tab w:val="clear" w:pos="4419"/>
        <w:tab w:val="clear" w:pos="8838"/>
        <w:tab w:val="left" w:pos="-720"/>
      </w:tabs>
      <w:suppressAutoHyphens/>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2C798F"/>
    <w:multiLevelType w:val="hybridMultilevel"/>
    <w:tmpl w:val="8CEA7414"/>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237"/>
  <w:displayVerticalDrawingGridEvery w:val="2"/>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54A"/>
    <w:rsid w:val="00007A1C"/>
    <w:rsid w:val="000412BC"/>
    <w:rsid w:val="00067B82"/>
    <w:rsid w:val="000708ED"/>
    <w:rsid w:val="00091DFF"/>
    <w:rsid w:val="000A0715"/>
    <w:rsid w:val="000A454A"/>
    <w:rsid w:val="000C2961"/>
    <w:rsid w:val="00131A13"/>
    <w:rsid w:val="001507E7"/>
    <w:rsid w:val="001578BE"/>
    <w:rsid w:val="0016323C"/>
    <w:rsid w:val="00196548"/>
    <w:rsid w:val="001C2250"/>
    <w:rsid w:val="001D0551"/>
    <w:rsid w:val="0020726D"/>
    <w:rsid w:val="002116BB"/>
    <w:rsid w:val="002206F7"/>
    <w:rsid w:val="00226BA8"/>
    <w:rsid w:val="00227CAB"/>
    <w:rsid w:val="002353FD"/>
    <w:rsid w:val="00261F20"/>
    <w:rsid w:val="002657C8"/>
    <w:rsid w:val="0027461C"/>
    <w:rsid w:val="00296DC3"/>
    <w:rsid w:val="002C3FD3"/>
    <w:rsid w:val="002E0CA7"/>
    <w:rsid w:val="00300281"/>
    <w:rsid w:val="00305B59"/>
    <w:rsid w:val="00313DBA"/>
    <w:rsid w:val="0031434F"/>
    <w:rsid w:val="00341CB3"/>
    <w:rsid w:val="003603E6"/>
    <w:rsid w:val="00362644"/>
    <w:rsid w:val="00371975"/>
    <w:rsid w:val="0038163B"/>
    <w:rsid w:val="00390D74"/>
    <w:rsid w:val="0039342B"/>
    <w:rsid w:val="003A7C1A"/>
    <w:rsid w:val="003B1772"/>
    <w:rsid w:val="003B1844"/>
    <w:rsid w:val="003C38F6"/>
    <w:rsid w:val="003D451E"/>
    <w:rsid w:val="003E5211"/>
    <w:rsid w:val="00412AC2"/>
    <w:rsid w:val="00422CD8"/>
    <w:rsid w:val="004449C4"/>
    <w:rsid w:val="00444E15"/>
    <w:rsid w:val="00461F83"/>
    <w:rsid w:val="00466355"/>
    <w:rsid w:val="004B096B"/>
    <w:rsid w:val="004B1801"/>
    <w:rsid w:val="004C43C6"/>
    <w:rsid w:val="004D5A1B"/>
    <w:rsid w:val="005042FB"/>
    <w:rsid w:val="00510214"/>
    <w:rsid w:val="005131C3"/>
    <w:rsid w:val="00513DC0"/>
    <w:rsid w:val="00544609"/>
    <w:rsid w:val="00550B19"/>
    <w:rsid w:val="00571517"/>
    <w:rsid w:val="005B6FBF"/>
    <w:rsid w:val="005D7C92"/>
    <w:rsid w:val="005E0E14"/>
    <w:rsid w:val="005E6C67"/>
    <w:rsid w:val="005F7762"/>
    <w:rsid w:val="00637812"/>
    <w:rsid w:val="006773CB"/>
    <w:rsid w:val="00691CE3"/>
    <w:rsid w:val="00696FEA"/>
    <w:rsid w:val="006A01FE"/>
    <w:rsid w:val="006A640D"/>
    <w:rsid w:val="006B3067"/>
    <w:rsid w:val="006D0BAE"/>
    <w:rsid w:val="0071517C"/>
    <w:rsid w:val="00730584"/>
    <w:rsid w:val="007420C7"/>
    <w:rsid w:val="007709CC"/>
    <w:rsid w:val="00777692"/>
    <w:rsid w:val="00783773"/>
    <w:rsid w:val="00784E92"/>
    <w:rsid w:val="00785020"/>
    <w:rsid w:val="0079320F"/>
    <w:rsid w:val="007B44C1"/>
    <w:rsid w:val="007E0ED2"/>
    <w:rsid w:val="007E73DA"/>
    <w:rsid w:val="007F204A"/>
    <w:rsid w:val="007F5585"/>
    <w:rsid w:val="007F62EE"/>
    <w:rsid w:val="0082370D"/>
    <w:rsid w:val="00824BE2"/>
    <w:rsid w:val="00831167"/>
    <w:rsid w:val="00834843"/>
    <w:rsid w:val="00852C11"/>
    <w:rsid w:val="00860428"/>
    <w:rsid w:val="008977E5"/>
    <w:rsid w:val="008B0506"/>
    <w:rsid w:val="008F4E35"/>
    <w:rsid w:val="00900D77"/>
    <w:rsid w:val="00912FDD"/>
    <w:rsid w:val="00962E3D"/>
    <w:rsid w:val="0098086C"/>
    <w:rsid w:val="009C16AF"/>
    <w:rsid w:val="009D2163"/>
    <w:rsid w:val="00A26398"/>
    <w:rsid w:val="00A62F30"/>
    <w:rsid w:val="00A7531C"/>
    <w:rsid w:val="00A75F92"/>
    <w:rsid w:val="00AE3662"/>
    <w:rsid w:val="00B47877"/>
    <w:rsid w:val="00B65E26"/>
    <w:rsid w:val="00B9047F"/>
    <w:rsid w:val="00BA13E2"/>
    <w:rsid w:val="00BB67C1"/>
    <w:rsid w:val="00BE2357"/>
    <w:rsid w:val="00BE4AEA"/>
    <w:rsid w:val="00BE5037"/>
    <w:rsid w:val="00BF35ED"/>
    <w:rsid w:val="00C013AD"/>
    <w:rsid w:val="00C01811"/>
    <w:rsid w:val="00C100F4"/>
    <w:rsid w:val="00C11AB9"/>
    <w:rsid w:val="00C12B39"/>
    <w:rsid w:val="00C40DCA"/>
    <w:rsid w:val="00C517EB"/>
    <w:rsid w:val="00C71877"/>
    <w:rsid w:val="00C7188C"/>
    <w:rsid w:val="00C828D4"/>
    <w:rsid w:val="00C901ED"/>
    <w:rsid w:val="00CA2C5B"/>
    <w:rsid w:val="00CE7C91"/>
    <w:rsid w:val="00D0073D"/>
    <w:rsid w:val="00D1663B"/>
    <w:rsid w:val="00D374DE"/>
    <w:rsid w:val="00D44276"/>
    <w:rsid w:val="00D61A1A"/>
    <w:rsid w:val="00D95EDE"/>
    <w:rsid w:val="00DA5BB2"/>
    <w:rsid w:val="00DC1A35"/>
    <w:rsid w:val="00DD02AB"/>
    <w:rsid w:val="00DE787E"/>
    <w:rsid w:val="00E04673"/>
    <w:rsid w:val="00E20020"/>
    <w:rsid w:val="00E27643"/>
    <w:rsid w:val="00E30FE0"/>
    <w:rsid w:val="00E441F8"/>
    <w:rsid w:val="00E57611"/>
    <w:rsid w:val="00E637C8"/>
    <w:rsid w:val="00E94D82"/>
    <w:rsid w:val="00EB40CB"/>
    <w:rsid w:val="00EC6200"/>
    <w:rsid w:val="00EE3CFB"/>
    <w:rsid w:val="00F15C14"/>
    <w:rsid w:val="00F60051"/>
    <w:rsid w:val="00F9306C"/>
    <w:rsid w:val="00FA09BA"/>
    <w:rsid w:val="00FC4CE0"/>
    <w:rsid w:val="00FF2A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F7D627B"/>
  <w15:docId w15:val="{1056CB0F-0895-49D9-ACD7-0A8C9E6A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1192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Poder Judicial de Mendoza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tmartin</cp:lastModifiedBy>
  <cp:revision>2</cp:revision>
  <cp:lastPrinted>2019-04-05T15:06:00Z</cp:lastPrinted>
  <dcterms:created xsi:type="dcterms:W3CDTF">2024-08-06T16:28:00Z</dcterms:created>
  <dcterms:modified xsi:type="dcterms:W3CDTF">2024-08-06T16:28:00Z</dcterms:modified>
</cp:coreProperties>
</file>