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824BA6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bookmarkStart w:id="0" w:name="_GoBack"/>
      <w:bookmarkEnd w:id="0"/>
      <w:r w:rsidR="0087027D" w:rsidRPr="003B6A23">
        <w:rPr>
          <w:rFonts w:ascii="Arial" w:hAnsi="Arial" w:cs="Arial"/>
          <w:b/>
        </w:rPr>
        <w:t>º TRIMESTRE 20</w:t>
      </w:r>
      <w:r w:rsidR="007C5140">
        <w:rPr>
          <w:rFonts w:ascii="Arial" w:hAnsi="Arial" w:cs="Arial"/>
          <w:b/>
        </w:rPr>
        <w:t>2</w:t>
      </w:r>
      <w:r w:rsidR="008247DF">
        <w:rPr>
          <w:rFonts w:ascii="Arial" w:hAnsi="Arial" w:cs="Arial"/>
          <w:b/>
        </w:rPr>
        <w:t>3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8247DF" w:rsidRPr="0034005A" w:rsidRDefault="0011568C" w:rsidP="008247DF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</w:t>
      </w:r>
      <w:r w:rsidR="008247DF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 w:rsidR="008247DF" w:rsidRPr="0034005A">
        <w:rPr>
          <w:rFonts w:ascii="Arial" w:hAnsi="Arial" w:cs="Arial"/>
        </w:rPr>
        <w:t>partidas sobre-ejecutadas de personal y locaciones de servicio serán cubiertas al final del ejercicio por Ministerio de Hacienda.</w:t>
      </w:r>
    </w:p>
    <w:p w:rsidR="008247DF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</w:p>
    <w:p w:rsidR="008247DF" w:rsidRPr="0034005A" w:rsidRDefault="008247DF" w:rsidP="008247DF">
      <w:pPr>
        <w:pStyle w:val="Sangradetextonormal"/>
        <w:ind w:firstLine="2832"/>
        <w:jc w:val="both"/>
        <w:rPr>
          <w:rFonts w:ascii="Arial" w:hAnsi="Arial" w:cs="Arial"/>
        </w:rPr>
      </w:pPr>
      <w:r w:rsidRPr="0034005A">
        <w:rPr>
          <w:rFonts w:ascii="Arial" w:hAnsi="Arial" w:cs="Arial"/>
        </w:rPr>
        <w:t xml:space="preserve">Con respecto a la sub-ejecución en la partida bienes de capital se corregirá en los próximos trimestres con el avance de las contrataciones y la liberación de partidas y ritmo del gasto por parte del Ministerio de Hacienda. </w:t>
      </w: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2FF" w:rsidRDefault="003D72FF" w:rsidP="000457F5">
      <w:pPr>
        <w:spacing w:after="0" w:line="240" w:lineRule="auto"/>
      </w:pPr>
      <w:r>
        <w:separator/>
      </w:r>
    </w:p>
  </w:endnote>
  <w:endnote w:type="continuationSeparator" w:id="0">
    <w:p w:rsidR="003D72FF" w:rsidRDefault="003D72FF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2FF" w:rsidRDefault="003D72FF" w:rsidP="000457F5">
      <w:pPr>
        <w:spacing w:after="0" w:line="240" w:lineRule="auto"/>
      </w:pPr>
      <w:r>
        <w:separator/>
      </w:r>
    </w:p>
  </w:footnote>
  <w:footnote w:type="continuationSeparator" w:id="0">
    <w:p w:rsidR="003D72FF" w:rsidRDefault="003D72FF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0015AD"/>
    <w:rsid w:val="000209C6"/>
    <w:rsid w:val="000457F5"/>
    <w:rsid w:val="000608D5"/>
    <w:rsid w:val="000B7639"/>
    <w:rsid w:val="000C038C"/>
    <w:rsid w:val="000C278D"/>
    <w:rsid w:val="0011568C"/>
    <w:rsid w:val="002710D2"/>
    <w:rsid w:val="00326FF7"/>
    <w:rsid w:val="00327B50"/>
    <w:rsid w:val="003D72FF"/>
    <w:rsid w:val="004963F4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747FAB"/>
    <w:rsid w:val="00751649"/>
    <w:rsid w:val="007C5140"/>
    <w:rsid w:val="0081785D"/>
    <w:rsid w:val="008247DF"/>
    <w:rsid w:val="00824BA6"/>
    <w:rsid w:val="00843F79"/>
    <w:rsid w:val="008459F2"/>
    <w:rsid w:val="0087027D"/>
    <w:rsid w:val="0094547E"/>
    <w:rsid w:val="00954D6C"/>
    <w:rsid w:val="009E7A20"/>
    <w:rsid w:val="00A0706B"/>
    <w:rsid w:val="00A215C3"/>
    <w:rsid w:val="00A46C0A"/>
    <w:rsid w:val="00A92E4B"/>
    <w:rsid w:val="00AA1E50"/>
    <w:rsid w:val="00B22242"/>
    <w:rsid w:val="00BA7AAD"/>
    <w:rsid w:val="00BC1D76"/>
    <w:rsid w:val="00BE1231"/>
    <w:rsid w:val="00C724B8"/>
    <w:rsid w:val="00D41D59"/>
    <w:rsid w:val="00D609A3"/>
    <w:rsid w:val="00E624EE"/>
    <w:rsid w:val="00E7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BFB20"/>
  <w15:docId w15:val="{000021B8-2526-4411-B13D-E32D51C6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2</cp:revision>
  <cp:lastPrinted>2016-03-14T18:11:00Z</cp:lastPrinted>
  <dcterms:created xsi:type="dcterms:W3CDTF">2023-08-15T12:47:00Z</dcterms:created>
  <dcterms:modified xsi:type="dcterms:W3CDTF">2023-08-15T12:47:00Z</dcterms:modified>
</cp:coreProperties>
</file>