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30"/>
        <w:gridCol w:w="164"/>
        <w:gridCol w:w="130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917E33">
              <w:rPr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917E33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FF3843" w:rsidRPr="0056426B" w:rsidRDefault="00B00A9D" w:rsidP="00E11A6E">
      <w:pPr>
        <w:jc w:val="both"/>
        <w:rPr>
          <w:rFonts w:ascii="Arial" w:hAnsi="Arial" w:cs="Arial"/>
          <w:color w:val="000000" w:themeColor="text1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554B5F">
        <w:rPr>
          <w:rFonts w:ascii="Arial" w:hAnsi="Arial" w:cs="Arial"/>
          <w:b/>
          <w:bCs/>
          <w:color w:val="FFFFFF"/>
          <w:sz w:val="20"/>
          <w:szCs w:val="20"/>
          <w:shd w:val="clear" w:color="auto" w:fill="026290"/>
        </w:rPr>
        <w:t> EX-2023-05838450- -GDEMZA-MCYT</w:t>
      </w:r>
    </w:p>
    <w:p w:rsidR="00DD5542" w:rsidRDefault="00AB504B" w:rsidP="00DD5542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3734A9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DD5542">
        <w:rPr>
          <w:rFonts w:ascii="Arial" w:hAnsi="Arial" w:cs="Arial"/>
          <w:b/>
          <w:u w:val="single"/>
        </w:rPr>
        <w:t>Recursos Corrientes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 La recaudación de los Recursos Corrientes, ha superado las expectativas de las pautas presupuestarias y la programación financiera del trimestre, dado que se ha recaudado en el mismo </w:t>
      </w:r>
      <w:r w:rsidR="0056426B">
        <w:rPr>
          <w:rFonts w:ascii="Verdana" w:eastAsia="Calibri" w:hAnsi="Verdana"/>
          <w:sz w:val="22"/>
          <w:szCs w:val="22"/>
          <w:lang w:eastAsia="en-US"/>
        </w:rPr>
        <w:t>una alta cantidad de eventos culturales.</w:t>
      </w:r>
    </w:p>
    <w:p w:rsidR="00DD5542" w:rsidRPr="00DD5542" w:rsidRDefault="00DD5542" w:rsidP="00DD5542">
      <w:pPr>
        <w:ind w:left="1418"/>
        <w:jc w:val="both"/>
        <w:rPr>
          <w:rFonts w:ascii="Arial" w:hAnsi="Arial" w:cs="Arial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DD5542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se superan a las programadas debido a la cantidad de actividades culturales efectuadas. </w:t>
      </w:r>
    </w:p>
    <w:p w:rsidR="0056426B" w:rsidRPr="0056426B" w:rsidRDefault="0056426B" w:rsidP="0056426B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 w:rsidRPr="00DD5542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 w:rsidRPr="00DD5542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DD5542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 w:rsidRPr="00DD55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 w:rsidRPr="00DD55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 w:rsidRPr="00DD5542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DD5542">
      <w:pPr>
        <w:ind w:firstLine="2385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263A2D25"/>
    <w:multiLevelType w:val="hybridMultilevel"/>
    <w:tmpl w:val="358CBEE8"/>
    <w:lvl w:ilvl="0" w:tplc="2C0A0017">
      <w:start w:val="1"/>
      <w:numFmt w:val="lowerLetter"/>
      <w:lvlText w:val="%1)"/>
      <w:lvlJc w:val="left"/>
      <w:pPr>
        <w:ind w:left="1287" w:hanging="360"/>
      </w:pPr>
    </w:lvl>
    <w:lvl w:ilvl="1" w:tplc="2C0A0019" w:tentative="1">
      <w:start w:val="1"/>
      <w:numFmt w:val="lowerLetter"/>
      <w:lvlText w:val="%2."/>
      <w:lvlJc w:val="left"/>
      <w:pPr>
        <w:ind w:left="2007" w:hanging="360"/>
      </w:pPr>
    </w:lvl>
    <w:lvl w:ilvl="2" w:tplc="2C0A001B" w:tentative="1">
      <w:start w:val="1"/>
      <w:numFmt w:val="lowerRoman"/>
      <w:lvlText w:val="%3."/>
      <w:lvlJc w:val="right"/>
      <w:pPr>
        <w:ind w:left="2727" w:hanging="180"/>
      </w:pPr>
    </w:lvl>
    <w:lvl w:ilvl="3" w:tplc="2C0A000F" w:tentative="1">
      <w:start w:val="1"/>
      <w:numFmt w:val="decimal"/>
      <w:lvlText w:val="%4."/>
      <w:lvlJc w:val="left"/>
      <w:pPr>
        <w:ind w:left="3447" w:hanging="360"/>
      </w:pPr>
    </w:lvl>
    <w:lvl w:ilvl="4" w:tplc="2C0A0019" w:tentative="1">
      <w:start w:val="1"/>
      <w:numFmt w:val="lowerLetter"/>
      <w:lvlText w:val="%5."/>
      <w:lvlJc w:val="left"/>
      <w:pPr>
        <w:ind w:left="4167" w:hanging="360"/>
      </w:pPr>
    </w:lvl>
    <w:lvl w:ilvl="5" w:tplc="2C0A001B" w:tentative="1">
      <w:start w:val="1"/>
      <w:numFmt w:val="lowerRoman"/>
      <w:lvlText w:val="%6."/>
      <w:lvlJc w:val="right"/>
      <w:pPr>
        <w:ind w:left="4887" w:hanging="180"/>
      </w:pPr>
    </w:lvl>
    <w:lvl w:ilvl="6" w:tplc="2C0A000F" w:tentative="1">
      <w:start w:val="1"/>
      <w:numFmt w:val="decimal"/>
      <w:lvlText w:val="%7."/>
      <w:lvlJc w:val="left"/>
      <w:pPr>
        <w:ind w:left="5607" w:hanging="360"/>
      </w:pPr>
    </w:lvl>
    <w:lvl w:ilvl="7" w:tplc="2C0A0019" w:tentative="1">
      <w:start w:val="1"/>
      <w:numFmt w:val="lowerLetter"/>
      <w:lvlText w:val="%8."/>
      <w:lvlJc w:val="left"/>
      <w:pPr>
        <w:ind w:left="6327" w:hanging="360"/>
      </w:pPr>
    </w:lvl>
    <w:lvl w:ilvl="8" w:tplc="2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1247580"/>
    <w:multiLevelType w:val="hybridMultilevel"/>
    <w:tmpl w:val="EC620A4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553"/>
    <w:multiLevelType w:val="hybridMultilevel"/>
    <w:tmpl w:val="E0883C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1882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964F9"/>
    <w:rsid w:val="004A043C"/>
    <w:rsid w:val="004B30A3"/>
    <w:rsid w:val="004D121E"/>
    <w:rsid w:val="0053467B"/>
    <w:rsid w:val="00554B5F"/>
    <w:rsid w:val="0056426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17E33"/>
    <w:rsid w:val="00931C75"/>
    <w:rsid w:val="00932AE6"/>
    <w:rsid w:val="00936B5D"/>
    <w:rsid w:val="00964A94"/>
    <w:rsid w:val="00972632"/>
    <w:rsid w:val="009732CA"/>
    <w:rsid w:val="009816D8"/>
    <w:rsid w:val="00982490"/>
    <w:rsid w:val="009C0BF0"/>
    <w:rsid w:val="009D19A6"/>
    <w:rsid w:val="009F5365"/>
    <w:rsid w:val="009F6B9F"/>
    <w:rsid w:val="00A24A83"/>
    <w:rsid w:val="00A40823"/>
    <w:rsid w:val="00A504E1"/>
    <w:rsid w:val="00A60C96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C46FA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D5542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EF65B2"/>
    <w:rsid w:val="00F32C50"/>
    <w:rsid w:val="00F43A49"/>
    <w:rsid w:val="00F55227"/>
    <w:rsid w:val="00F579D2"/>
    <w:rsid w:val="00F708CD"/>
    <w:rsid w:val="00F73157"/>
    <w:rsid w:val="00F959D0"/>
    <w:rsid w:val="00FA12D9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3</cp:revision>
  <cp:lastPrinted>2023-08-04T13:07:00Z</cp:lastPrinted>
  <dcterms:created xsi:type="dcterms:W3CDTF">2023-08-04T13:47:00Z</dcterms:created>
  <dcterms:modified xsi:type="dcterms:W3CDTF">2023-08-08T14:03:00Z</dcterms:modified>
</cp:coreProperties>
</file>