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D04818">
        <w:rPr>
          <w:rFonts w:ascii="Verdana" w:hAnsi="Verdana" w:cs="Arial"/>
        </w:rPr>
        <w:t>1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6241EB">
        <w:rPr>
          <w:rFonts w:ascii="Verdana" w:hAnsi="Verdana" w:cs="Arial"/>
        </w:rPr>
        <w:t>3</w:t>
      </w:r>
    </w:p>
    <w:p w:rsidR="006F1037" w:rsidRPr="006F1037" w:rsidRDefault="006241EB" w:rsidP="006F1037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Medidas de Política de Gasto Público: </w:t>
      </w:r>
    </w:p>
    <w:p w:rsidR="00E35F09" w:rsidRDefault="00E35F09" w:rsidP="00E35F09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A fines del año  2022, </w:t>
      </w:r>
      <w:r w:rsidR="006F1037">
        <w:rPr>
          <w:rFonts w:ascii="Arial" w:hAnsi="Arial" w:cs="Arial"/>
          <w:color w:val="111111"/>
          <w:shd w:val="clear" w:color="auto" w:fill="F9F9F9"/>
        </w:rPr>
        <w:t>se acordó</w:t>
      </w:r>
      <w:r w:rsidR="006F1037" w:rsidRPr="00DD5EF0">
        <w:rPr>
          <w:rFonts w:ascii="Arial" w:hAnsi="Arial" w:cs="Arial"/>
          <w:color w:val="111111"/>
          <w:shd w:val="clear" w:color="auto" w:fill="F9F9F9"/>
        </w:rPr>
        <w:t xml:space="preserve"> un incremento a cuenta de las paritarias 2023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consistente en </w:t>
      </w:r>
      <w:r w:rsidRPr="00E35F09">
        <w:rPr>
          <w:rFonts w:ascii="Arial" w:hAnsi="Arial" w:cs="Arial"/>
          <w:color w:val="111111"/>
          <w:shd w:val="clear" w:color="auto" w:fill="F9F9F9"/>
        </w:rPr>
        <w:t xml:space="preserve">incrementos de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5% </w:t>
      </w:r>
      <w:r w:rsidR="000162D1">
        <w:rPr>
          <w:rFonts w:ascii="Arial" w:hAnsi="Arial" w:cs="Arial"/>
          <w:color w:val="111111"/>
          <w:shd w:val="clear" w:color="auto" w:fill="F9F9F9"/>
        </w:rPr>
        <w:t>en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 enero, 5% en febrero y 5% en marzo, siendo estos porcentajes no acumulables.</w:t>
      </w:r>
    </w:p>
    <w:p w:rsidR="00E15500" w:rsidRDefault="00E35F09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E35F09">
        <w:rPr>
          <w:rFonts w:ascii="Arial" w:hAnsi="Arial" w:cs="Arial"/>
          <w:color w:val="111111"/>
          <w:shd w:val="clear" w:color="auto" w:fill="F9F9F9"/>
        </w:rPr>
        <w:t>2023</w:t>
      </w:r>
      <w:r>
        <w:rPr>
          <w:rFonts w:ascii="Arial" w:hAnsi="Arial" w:cs="Arial"/>
          <w:color w:val="111111"/>
          <w:shd w:val="clear" w:color="auto" w:fill="F9F9F9"/>
        </w:rPr>
        <w:t xml:space="preserve">, con la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propuesta salarial aceptada </w:t>
      </w:r>
      <w:r>
        <w:rPr>
          <w:rFonts w:ascii="Arial" w:eastAsia="Times New Roman" w:hAnsi="Arial" w:cs="Arial"/>
          <w:color w:val="111111"/>
          <w:lang w:eastAsia="es-AR"/>
        </w:rPr>
        <w:t xml:space="preserve">que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>contempla 71% de aumento al básico y tres mesas de revisión en junio, julio y octubre de 2023. Las mesas de junio y julio se activarán si la inflación informada por el INDEC supera el aumento percibido por los agentes estatales.</w:t>
      </w:r>
      <w:r w:rsidRPr="00E35F0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49500C">
        <w:rPr>
          <w:rFonts w:ascii="Arial" w:eastAsia="Times New Roman" w:hAnsi="Arial" w:cs="Arial"/>
          <w:color w:val="111111"/>
          <w:lang w:eastAsia="es-AR"/>
        </w:rPr>
        <w:t>E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ste incremento al básico se acompaña con mejoras en el </w:t>
      </w:r>
      <w:r w:rsidR="006F1037" w:rsidRPr="00E52F51">
        <w:rPr>
          <w:rFonts w:ascii="Arial" w:eastAsia="Times New Roman" w:hAnsi="Arial" w:cs="Arial"/>
          <w:color w:val="111111"/>
          <w:lang w:eastAsia="es-AR"/>
        </w:rPr>
        <w:t>adicional específico que tienen los trabajadores de cada sector</w:t>
      </w:r>
      <w:r w:rsidR="00E15500">
        <w:rPr>
          <w:rFonts w:ascii="Arial" w:eastAsia="Times New Roman" w:hAnsi="Arial" w:cs="Arial"/>
          <w:color w:val="111111"/>
          <w:lang w:eastAsia="es-AR"/>
        </w:rPr>
        <w:t>.</w:t>
      </w:r>
    </w:p>
    <w:p w:rsidR="00E52F51" w:rsidRPr="00E52F51" w:rsidRDefault="00E52F51" w:rsidP="00E1550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</w:t>
      </w:r>
      <w:r w:rsidR="006241EB" w:rsidRPr="00E52F51">
        <w:rPr>
          <w:rFonts w:ascii="Arial" w:eastAsia="Times New Roman" w:hAnsi="Arial" w:cs="Arial"/>
          <w:color w:val="111111"/>
          <w:lang w:eastAsia="es-AR"/>
        </w:rPr>
        <w:t xml:space="preserve">e dispuso </w:t>
      </w:r>
      <w:r w:rsidRPr="00E52F51">
        <w:rPr>
          <w:rFonts w:ascii="Arial" w:hAnsi="Arial" w:cs="Arial"/>
          <w:color w:val="111111"/>
          <w:shd w:val="clear" w:color="auto" w:fill="FFFFFF"/>
        </w:rPr>
        <w:t>para los honorarios del mes de enero 2023 una suma extraordinaria por única vez, de $ 25.000, </w:t>
      </w:r>
      <w:r>
        <w:rPr>
          <w:rFonts w:ascii="Arial" w:hAnsi="Arial" w:cs="Arial"/>
          <w:color w:val="111111"/>
          <w:shd w:val="clear" w:color="auto" w:fill="FFFFFF"/>
        </w:rPr>
        <w:t>mediante Decreto 46/23, para lo</w:t>
      </w:r>
      <w:r w:rsidRPr="00E52F51">
        <w:rPr>
          <w:rFonts w:ascii="Arial" w:hAnsi="Arial" w:cs="Arial"/>
          <w:color w:val="111111"/>
          <w:shd w:val="clear" w:color="auto" w:fill="FFFFFF"/>
        </w:rPr>
        <w:t>s agentes con contrato de Locación de Obras o Servicios, Honorarios determinados en Horas Módulo Deportivo o cualquier otra forma de contratación</w:t>
      </w:r>
      <w:r>
        <w:rPr>
          <w:rFonts w:ascii="Arial" w:hAnsi="Arial" w:cs="Arial"/>
          <w:color w:val="111111"/>
          <w:shd w:val="clear" w:color="auto" w:fill="FFFFFF"/>
        </w:rPr>
        <w:t>.</w:t>
      </w:r>
    </w:p>
    <w:p w:rsidR="006241EB" w:rsidRPr="00AC2B84" w:rsidRDefault="006241EB" w:rsidP="00E15500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0162D1">
        <w:rPr>
          <w:rFonts w:ascii="Arial" w:eastAsia="Times New Roman" w:hAnsi="Arial" w:cs="Arial"/>
          <w:color w:val="111111"/>
          <w:lang w:eastAsia="es-AR"/>
        </w:rPr>
        <w:t>3/23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6241EB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6241EB" w:rsidRPr="002E0075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="00E961F4">
        <w:rPr>
          <w:rFonts w:ascii="Arial" w:eastAsia="Times New Roman" w:hAnsi="Arial" w:cs="Arial"/>
          <w:bCs/>
          <w:color w:val="111111"/>
          <w:lang w:eastAsia="es-AR"/>
        </w:rPr>
        <w:t>continúa con el programa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Pr="0010696F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E961F4">
        <w:rPr>
          <w:rFonts w:ascii="Arial" w:hAnsi="Arial" w:cs="Arial"/>
          <w:color w:val="111111"/>
          <w:shd w:val="clear" w:color="auto" w:fill="FFFFFF"/>
        </w:rPr>
        <w:t xml:space="preserve">, </w:t>
      </w:r>
      <w:r>
        <w:rPr>
          <w:rFonts w:ascii="Arial" w:eastAsia="Times New Roman" w:hAnsi="Arial" w:cs="Arial"/>
          <w:bCs/>
          <w:color w:val="111111"/>
          <w:lang w:eastAsia="es-AR"/>
        </w:rPr>
        <w:t>que tiene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 por objetivo la financiación a 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>municipios en sus proyectos de construcción, refacción, terminación de obras, infraestructura y/u obtención de equipamientos de carácter productivo y que promuevan el desarrollo económico local.</w:t>
      </w:r>
    </w:p>
    <w:p w:rsidR="006241EB" w:rsidRPr="00120D4D" w:rsidRDefault="006241EB" w:rsidP="006241EB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12DA" w:rsidRDefault="006241EB" w:rsidP="00D012DA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 w:rsidR="0038346C"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D012DA" w:rsidRDefault="00D012DA" w:rsidP="00D012DA">
      <w:pPr>
        <w:pStyle w:val="Prrafodelista"/>
        <w:ind w:left="360"/>
        <w:jc w:val="both"/>
        <w:rPr>
          <w:rFonts w:ascii="Arial" w:hAnsi="Arial" w:cs="Arial"/>
        </w:rPr>
      </w:pPr>
    </w:p>
    <w:p w:rsidR="006241EB" w:rsidRPr="00D012DA" w:rsidRDefault="00A81C88" w:rsidP="00A81C88">
      <w:pPr>
        <w:pStyle w:val="Prrafodelista"/>
        <w:shd w:val="clear" w:color="auto" w:fill="F9F9F9"/>
        <w:spacing w:after="360" w:line="240" w:lineRule="auto"/>
        <w:ind w:left="36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lastRenderedPageBreak/>
        <w:tab/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Se destaca en este sentido la emisión de </w:t>
      </w:r>
      <w:r w:rsidR="003F14F4"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bonos verdes </w:t>
      </w:r>
      <w:r w:rsidRPr="00A81C88">
        <w:rPr>
          <w:rFonts w:ascii="Arial" w:eastAsia="Times New Roman" w:hAnsi="Arial" w:cs="Arial"/>
          <w:color w:val="111111"/>
          <w:lang w:eastAsia="es-AR"/>
        </w:rPr>
        <w:t xml:space="preserve">para el financiamiento </w:t>
      </w:r>
      <w:r w:rsidR="003F14F4">
        <w:rPr>
          <w:rFonts w:ascii="Arial" w:eastAsia="Times New Roman" w:hAnsi="Arial" w:cs="Arial"/>
          <w:color w:val="111111"/>
          <w:lang w:eastAsia="es-AR"/>
        </w:rPr>
        <w:t xml:space="preserve">   </w:t>
      </w:r>
      <w:r w:rsidR="003F14F4">
        <w:rPr>
          <w:rFonts w:ascii="Arial" w:eastAsia="Times New Roman" w:hAnsi="Arial" w:cs="Arial"/>
          <w:color w:val="111111"/>
          <w:lang w:eastAsia="es-AR"/>
        </w:rPr>
        <w:tab/>
      </w:r>
      <w:r w:rsidRPr="00A81C88">
        <w:rPr>
          <w:rFonts w:ascii="Arial" w:eastAsia="Times New Roman" w:hAnsi="Arial" w:cs="Arial"/>
          <w:color w:val="111111"/>
          <w:lang w:eastAsia="es-AR"/>
        </w:rPr>
        <w:t>de la</w:t>
      </w:r>
      <w:r w:rsidR="003F14F4">
        <w:rPr>
          <w:rFonts w:ascii="Arial" w:eastAsia="Times New Roman" w:hAnsi="Arial" w:cs="Arial"/>
          <w:color w:val="111111"/>
          <w:lang w:eastAsia="es-AR"/>
        </w:rPr>
        <w:t>s</w:t>
      </w:r>
      <w:r w:rsidRPr="00A81C88">
        <w:rPr>
          <w:rFonts w:ascii="Arial" w:eastAsia="Times New Roman" w:hAnsi="Arial" w:cs="Arial"/>
          <w:color w:val="111111"/>
          <w:lang w:eastAsia="es-AR"/>
        </w:rPr>
        <w:t xml:space="preserve"> etapa</w:t>
      </w:r>
      <w:r w:rsidR="003F14F4">
        <w:rPr>
          <w:rFonts w:ascii="Arial" w:eastAsia="Times New Roman" w:hAnsi="Arial" w:cs="Arial"/>
          <w:color w:val="111111"/>
          <w:lang w:eastAsia="es-AR"/>
        </w:rPr>
        <w:t>s</w:t>
      </w:r>
      <w:r w:rsidRPr="00A81C88">
        <w:rPr>
          <w:rFonts w:ascii="Arial" w:eastAsia="Times New Roman" w:hAnsi="Arial" w:cs="Arial"/>
          <w:color w:val="111111"/>
          <w:lang w:eastAsia="es-AR"/>
        </w:rPr>
        <w:t xml:space="preserve"> III y IV del </w:t>
      </w:r>
      <w:proofErr w:type="spellStart"/>
      <w:r w:rsidRPr="00A81C88">
        <w:rPr>
          <w:rFonts w:ascii="Arial" w:eastAsia="Times New Roman" w:hAnsi="Arial" w:cs="Arial"/>
          <w:color w:val="111111"/>
          <w:lang w:eastAsia="es-AR"/>
        </w:rPr>
        <w:t>Metrotranvía</w:t>
      </w:r>
      <w:proofErr w:type="spellEnd"/>
      <w:r w:rsidRPr="00A81C88">
        <w:rPr>
          <w:rFonts w:ascii="Arial" w:eastAsia="Times New Roman" w:hAnsi="Arial" w:cs="Arial"/>
          <w:color w:val="111111"/>
          <w:lang w:eastAsia="es-AR"/>
        </w:rPr>
        <w:t>, es decir aplicados</w:t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 exclusivamente </w:t>
      </w:r>
      <w:r w:rsidR="003F14F4">
        <w:rPr>
          <w:rFonts w:ascii="Arial" w:eastAsia="Times New Roman" w:hAnsi="Arial" w:cs="Arial"/>
          <w:bCs/>
          <w:color w:val="111111"/>
          <w:lang w:eastAsia="es-AR"/>
        </w:rPr>
        <w:t>a</w:t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 financiar </w:t>
      </w:r>
      <w:r>
        <w:rPr>
          <w:rFonts w:ascii="Arial" w:eastAsia="Times New Roman" w:hAnsi="Arial" w:cs="Arial"/>
          <w:bCs/>
          <w:color w:val="111111"/>
          <w:lang w:eastAsia="es-AR"/>
        </w:rPr>
        <w:tab/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>proyectos verdes elegibles que estén alineados con los </w:t>
      </w:r>
      <w:r w:rsidR="00D012DA" w:rsidRPr="00A81C88">
        <w:rPr>
          <w:rFonts w:ascii="Arial" w:eastAsia="Times New Roman" w:hAnsi="Arial" w:cs="Arial"/>
          <w:bCs/>
          <w:i/>
          <w:iCs/>
          <w:color w:val="111111"/>
          <w:lang w:eastAsia="es-AR"/>
        </w:rPr>
        <w:t xml:space="preserve">Green Bond </w:t>
      </w:r>
      <w:r>
        <w:rPr>
          <w:rFonts w:ascii="Arial" w:eastAsia="Times New Roman" w:hAnsi="Arial" w:cs="Arial"/>
          <w:bCs/>
          <w:i/>
          <w:iCs/>
          <w:color w:val="111111"/>
          <w:lang w:eastAsia="es-AR"/>
        </w:rPr>
        <w:tab/>
      </w:r>
      <w:proofErr w:type="spellStart"/>
      <w:r w:rsidR="00D012DA" w:rsidRPr="00A81C88">
        <w:rPr>
          <w:rFonts w:ascii="Arial" w:eastAsia="Times New Roman" w:hAnsi="Arial" w:cs="Arial"/>
          <w:bCs/>
          <w:i/>
          <w:iCs/>
          <w:color w:val="111111"/>
          <w:lang w:eastAsia="es-AR"/>
        </w:rPr>
        <w:t>Principles</w:t>
      </w:r>
      <w:proofErr w:type="spellEnd"/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> (GBP).</w:t>
      </w:r>
    </w:p>
    <w:p w:rsidR="004D616A" w:rsidRPr="004D616A" w:rsidRDefault="006241EB" w:rsidP="006241EB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 w:rsidR="00075350"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6241EB" w:rsidRPr="005553E4" w:rsidRDefault="006241EB" w:rsidP="004D616A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 w:rsidR="00075350"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5553E4" w:rsidRPr="005553E4" w:rsidRDefault="005553E4" w:rsidP="005553E4">
      <w:pPr>
        <w:pStyle w:val="Prrafodelista"/>
        <w:jc w:val="both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shd w:val="clear" w:color="auto" w:fill="F9F9F9"/>
        </w:rPr>
        <w:t>Se trabaja en la simplificación de trámites</w:t>
      </w:r>
      <w:r w:rsidR="003F14F4">
        <w:rPr>
          <w:rFonts w:ascii="Arial" w:hAnsi="Arial" w:cs="Arial"/>
          <w:color w:val="111111"/>
          <w:shd w:val="clear" w:color="auto" w:fill="F9F9F9"/>
        </w:rPr>
        <w:t>, en este sentido</w:t>
      </w:r>
      <w:r>
        <w:rPr>
          <w:rFonts w:ascii="Arial" w:hAnsi="Arial" w:cs="Arial"/>
          <w:color w:val="111111"/>
          <w:shd w:val="clear" w:color="auto" w:fill="F9F9F9"/>
        </w:rPr>
        <w:t xml:space="preserve"> se p</w:t>
      </w:r>
      <w:r w:rsidRPr="005553E4">
        <w:rPr>
          <w:rFonts w:ascii="Arial" w:hAnsi="Arial" w:cs="Arial"/>
          <w:color w:val="111111"/>
        </w:rPr>
        <w:t>resentó el Certificado Único de Transferencia</w:t>
      </w:r>
      <w:r>
        <w:rPr>
          <w:rFonts w:ascii="Arial" w:hAnsi="Arial" w:cs="Arial"/>
          <w:color w:val="111111"/>
        </w:rPr>
        <w:t xml:space="preserve"> que es </w:t>
      </w:r>
      <w:r w:rsidRPr="005553E4">
        <w:rPr>
          <w:rFonts w:ascii="Arial" w:hAnsi="Arial" w:cs="Arial"/>
          <w:color w:val="111111"/>
        </w:rPr>
        <w:t>un prototipo para agilizar el trámite de transmisión de titularidad de un inmueble</w:t>
      </w:r>
      <w:r w:rsidR="003F14F4">
        <w:rPr>
          <w:rFonts w:ascii="Arial" w:hAnsi="Arial" w:cs="Arial"/>
          <w:color w:val="111111"/>
        </w:rPr>
        <w:t>, cuyo</w:t>
      </w:r>
      <w:r w:rsidRPr="005553E4">
        <w:rPr>
          <w:rFonts w:ascii="Arial" w:hAnsi="Arial" w:cs="Arial"/>
          <w:color w:val="111111"/>
        </w:rPr>
        <w:t xml:space="preserve"> objetivo</w:t>
      </w:r>
      <w:r w:rsidR="003F14F4">
        <w:rPr>
          <w:rFonts w:ascii="Arial" w:hAnsi="Arial" w:cs="Arial"/>
          <w:color w:val="111111"/>
        </w:rPr>
        <w:t xml:space="preserve"> es</w:t>
      </w:r>
      <w:bookmarkStart w:id="0" w:name="_GoBack"/>
      <w:bookmarkEnd w:id="0"/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mismo.</w:t>
      </w:r>
    </w:p>
    <w:p w:rsidR="006241EB" w:rsidRDefault="006241EB" w:rsidP="006241EB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366679">
        <w:rPr>
          <w:rFonts w:ascii="Arial" w:hAnsi="Arial" w:cs="Arial"/>
          <w:color w:val="111111"/>
          <w:shd w:val="clear" w:color="auto" w:fill="F9F9F9"/>
        </w:rPr>
        <w:t xml:space="preserve">Se realizan 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>operativos de control de facturación</w:t>
      </w:r>
      <w:r w:rsidR="00075350">
        <w:rPr>
          <w:rFonts w:ascii="Arial" w:eastAsia="Times New Roman" w:hAnsi="Arial" w:cs="Arial"/>
          <w:bCs/>
          <w:color w:val="111111"/>
          <w:lang w:eastAsia="es-AR"/>
        </w:rPr>
        <w:t xml:space="preserve"> en comercios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 xml:space="preserve"> y pago de Impuestos </w:t>
      </w:r>
      <w:r w:rsidR="00075350">
        <w:rPr>
          <w:rFonts w:ascii="Arial" w:eastAsia="Times New Roman" w:hAnsi="Arial" w:cs="Arial"/>
          <w:bCs/>
          <w:color w:val="111111"/>
          <w:lang w:eastAsia="es-AR"/>
        </w:rPr>
        <w:t xml:space="preserve">Patrimoniales, 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>a través del Departamento de Fiscalización Permanente. </w:t>
      </w:r>
    </w:p>
    <w:p w:rsidR="00075350" w:rsidRPr="00925430" w:rsidRDefault="004D616A" w:rsidP="00925430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Mediante un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moderno relevamiento masivo de captura de datos en la zona rural de la provincia de Mendoza</w:t>
      </w:r>
      <w:r w:rsidR="00A81C88">
        <w:rPr>
          <w:rFonts w:ascii="Arial" w:eastAsia="Times New Roman" w:hAnsi="Arial" w:cs="Arial"/>
          <w:color w:val="111111"/>
          <w:lang w:eastAsia="es-AR"/>
        </w:rPr>
        <w:t>,</w:t>
      </w:r>
      <w:r w:rsidR="00925430">
        <w:rPr>
          <w:rFonts w:ascii="Arial" w:eastAsia="Times New Roman" w:hAnsi="Arial" w:cs="Arial"/>
          <w:color w:val="111111"/>
          <w:lang w:eastAsia="es-AR"/>
        </w:rPr>
        <w:t xml:space="preserve"> </w:t>
      </w:r>
      <w:r>
        <w:rPr>
          <w:rFonts w:ascii="Arial" w:eastAsia="Times New Roman" w:hAnsi="Arial" w:cs="Arial"/>
          <w:color w:val="111111"/>
          <w:lang w:eastAsia="es-AR"/>
        </w:rPr>
        <w:t xml:space="preserve">se detectaron numerosas irregularidades que han permitido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adecuar la base imponible del Impuesto Inmobiliario</w:t>
      </w:r>
      <w:r>
        <w:rPr>
          <w:rFonts w:ascii="Arial" w:eastAsia="Times New Roman" w:hAnsi="Arial" w:cs="Arial"/>
          <w:color w:val="111111"/>
          <w:lang w:eastAsia="es-AR"/>
        </w:rPr>
        <w:t>,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promov</w:t>
      </w:r>
      <w:r w:rsidR="00925430" w:rsidRPr="00925430">
        <w:rPr>
          <w:rFonts w:ascii="Arial" w:eastAsia="Times New Roman" w:hAnsi="Arial" w:cs="Arial"/>
          <w:color w:val="111111"/>
          <w:lang w:eastAsia="es-AR"/>
        </w:rPr>
        <w:t>iendo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el principio de equidad tributaria en la aplicación del </w:t>
      </w:r>
      <w:r w:rsidR="00A81C88">
        <w:rPr>
          <w:rFonts w:ascii="Arial" w:eastAsia="Times New Roman" w:hAnsi="Arial" w:cs="Arial"/>
          <w:color w:val="111111"/>
          <w:lang w:eastAsia="es-AR"/>
        </w:rPr>
        <w:t xml:space="preserve">dicho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impuesto.</w:t>
      </w:r>
    </w:p>
    <w:p w:rsidR="006241EB" w:rsidRPr="00925430" w:rsidRDefault="006241EB" w:rsidP="00925430">
      <w:pPr>
        <w:jc w:val="both"/>
        <w:rPr>
          <w:rFonts w:ascii="Arial" w:hAnsi="Arial" w:cs="Arial"/>
        </w:rPr>
      </w:pPr>
    </w:p>
    <w:p w:rsidR="004F5DAF" w:rsidRDefault="004F5DAF" w:rsidP="006241EB">
      <w:pPr>
        <w:jc w:val="both"/>
        <w:rPr>
          <w:rFonts w:ascii="Arial" w:hAnsi="Arial" w:cs="Arial"/>
        </w:rPr>
      </w:pPr>
    </w:p>
    <w:p w:rsidR="004F5DAF" w:rsidRDefault="004F5DAF" w:rsidP="006241EB">
      <w:pPr>
        <w:jc w:val="both"/>
        <w:rPr>
          <w:rFonts w:ascii="Arial" w:hAnsi="Arial" w:cs="Arial"/>
        </w:rPr>
      </w:pPr>
    </w:p>
    <w:p w:rsidR="004F5DAF" w:rsidRPr="00366679" w:rsidRDefault="004F5DAF" w:rsidP="006241EB">
      <w:pPr>
        <w:jc w:val="both"/>
        <w:rPr>
          <w:rFonts w:ascii="Arial" w:hAnsi="Arial" w:cs="Arial"/>
        </w:rPr>
      </w:pPr>
    </w:p>
    <w:sectPr w:rsidR="004F5DAF" w:rsidRPr="00366679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F14F4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12DA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A2DA2-B458-4481-A7CC-EC1810AF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21</cp:revision>
  <cp:lastPrinted>2018-11-14T15:05:00Z</cp:lastPrinted>
  <dcterms:created xsi:type="dcterms:W3CDTF">2021-05-28T18:36:00Z</dcterms:created>
  <dcterms:modified xsi:type="dcterms:W3CDTF">2023-05-24T15:39:00Z</dcterms:modified>
</cp:coreProperties>
</file>