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F91061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F91061">
        <w:rPr>
          <w:rFonts w:ascii="Verdana" w:hAnsi="Verdana"/>
          <w:b/>
        </w:rPr>
        <w:t>3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D27A1A" w:rsidRDefault="00D27A1A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El ingreso ejecutado</w:t>
      </w:r>
      <w:r w:rsidR="00F432D4">
        <w:rPr>
          <w:rFonts w:ascii="Verdana" w:hAnsi="Verdana"/>
        </w:rPr>
        <w:t xml:space="preserve"> negativo </w:t>
      </w:r>
      <w:r w:rsidR="00400D4B">
        <w:rPr>
          <w:rFonts w:ascii="Verdana" w:hAnsi="Verdana"/>
        </w:rPr>
        <w:t>en la cuenta “</w:t>
      </w:r>
      <w:r w:rsidR="00400D4B">
        <w:rPr>
          <w:rFonts w:ascii="Verdana" w:hAnsi="Verdana"/>
          <w:b/>
        </w:rPr>
        <w:t>Multas, Intereses y recargos no tributarios</w:t>
      </w:r>
      <w:r w:rsidR="00400D4B">
        <w:rPr>
          <w:rFonts w:ascii="Verdana" w:hAnsi="Verdana"/>
        </w:rPr>
        <w:t>”</w:t>
      </w:r>
      <w:r w:rsidR="00234920">
        <w:rPr>
          <w:rFonts w:ascii="Verdana" w:hAnsi="Verdana"/>
        </w:rPr>
        <w:t xml:space="preserve"> (04 1120506000)</w:t>
      </w:r>
      <w:r w:rsidR="00400D4B">
        <w:rPr>
          <w:rFonts w:ascii="Verdana" w:hAnsi="Verdana"/>
        </w:rPr>
        <w:t xml:space="preserve"> por la suma de cinco mil pesos ($5.000,00) </w:t>
      </w:r>
      <w:r w:rsidR="00F432D4">
        <w:rPr>
          <w:rFonts w:ascii="Verdana" w:hAnsi="Verdana"/>
        </w:rPr>
        <w:t xml:space="preserve">corresponde a </w:t>
      </w:r>
      <w:r w:rsidR="00F432D4" w:rsidRPr="0081452C">
        <w:rPr>
          <w:rFonts w:ascii="Verdana" w:hAnsi="Verdana"/>
          <w:b/>
        </w:rPr>
        <w:t>una devolución</w:t>
      </w:r>
      <w:r w:rsidR="00F432D4">
        <w:rPr>
          <w:rFonts w:ascii="Verdana" w:hAnsi="Verdana"/>
        </w:rPr>
        <w:t xml:space="preserve"> </w:t>
      </w:r>
      <w:r w:rsidR="00400D4B" w:rsidRPr="0081452C">
        <w:rPr>
          <w:rFonts w:ascii="Verdana" w:hAnsi="Verdana"/>
          <w:b/>
        </w:rPr>
        <w:t>de la</w:t>
      </w:r>
      <w:r w:rsidR="0081452C" w:rsidRPr="0081452C">
        <w:rPr>
          <w:rFonts w:ascii="Verdana" w:hAnsi="Verdana"/>
          <w:b/>
        </w:rPr>
        <w:t xml:space="preserve"> multa</w:t>
      </w:r>
      <w:r w:rsidR="0081452C">
        <w:rPr>
          <w:rFonts w:ascii="Verdana" w:hAnsi="Verdana"/>
        </w:rPr>
        <w:t xml:space="preserve"> impuesta por el Honorable Tribunal de Cuentas</w:t>
      </w:r>
      <w:r w:rsidR="00400D4B">
        <w:rPr>
          <w:rFonts w:ascii="Verdana" w:hAnsi="Verdana"/>
        </w:rPr>
        <w:t xml:space="preserve"> al Arq. Armando </w:t>
      </w:r>
      <w:proofErr w:type="spellStart"/>
      <w:r w:rsidR="00400D4B">
        <w:rPr>
          <w:rFonts w:ascii="Verdana" w:hAnsi="Verdana"/>
        </w:rPr>
        <w:t>Gei</w:t>
      </w:r>
      <w:proofErr w:type="spellEnd"/>
      <w:r w:rsidR="00400D4B">
        <w:rPr>
          <w:rFonts w:ascii="Verdana" w:hAnsi="Verdana"/>
        </w:rPr>
        <w:t xml:space="preserve">  de acuerdo a lo ordenado en Fallo Nº 17.742 (</w:t>
      </w:r>
      <w:proofErr w:type="spellStart"/>
      <w:r w:rsidR="00400D4B">
        <w:rPr>
          <w:rFonts w:ascii="Verdana" w:hAnsi="Verdana"/>
        </w:rPr>
        <w:t>rectificatorio</w:t>
      </w:r>
      <w:proofErr w:type="spellEnd"/>
      <w:r w:rsidR="0081452C">
        <w:rPr>
          <w:rFonts w:ascii="Verdana" w:hAnsi="Verdana"/>
        </w:rPr>
        <w:t xml:space="preserve"> del Fallo </w:t>
      </w:r>
      <w:r w:rsidR="00400D4B">
        <w:rPr>
          <w:rFonts w:ascii="Verdana" w:hAnsi="Verdana"/>
        </w:rPr>
        <w:t xml:space="preserve">Nº 16.883) sanción </w:t>
      </w:r>
      <w:r w:rsidR="0081452C">
        <w:rPr>
          <w:rFonts w:ascii="Verdana" w:hAnsi="Verdana"/>
        </w:rPr>
        <w:t>que queda sin e</w:t>
      </w:r>
      <w:r w:rsidR="00400D4B">
        <w:rPr>
          <w:rFonts w:ascii="Verdana" w:hAnsi="Verdana"/>
        </w:rPr>
        <w:t>fecto</w:t>
      </w:r>
      <w:r w:rsidR="0081452C">
        <w:rPr>
          <w:rFonts w:ascii="Verdana" w:hAnsi="Verdana"/>
        </w:rPr>
        <w:t xml:space="preserve">, </w:t>
      </w:r>
      <w:r w:rsidR="00400D4B">
        <w:rPr>
          <w:rFonts w:ascii="Verdana" w:hAnsi="Verdana"/>
        </w:rPr>
        <w:t xml:space="preserve"> informada en Oficio Nº TC-A-1863-2022</w:t>
      </w:r>
      <w:r>
        <w:rPr>
          <w:rFonts w:ascii="Verdana" w:hAnsi="Verdana"/>
        </w:rPr>
        <w:t>)</w:t>
      </w:r>
      <w:r w:rsidR="0081452C">
        <w:rPr>
          <w:rFonts w:ascii="Verdana" w:hAnsi="Verdana"/>
        </w:rPr>
        <w:t xml:space="preserve">, registrando dicha devolución de ingreso </w:t>
      </w:r>
      <w:r>
        <w:rPr>
          <w:rFonts w:ascii="Verdana" w:hAnsi="Verdana"/>
        </w:rPr>
        <w:t>en el Ministerio de Hacienda y Finanzas (</w:t>
      </w:r>
      <w:proofErr w:type="spellStart"/>
      <w:r>
        <w:rPr>
          <w:rFonts w:ascii="Verdana" w:hAnsi="Verdana"/>
        </w:rPr>
        <w:t>cuc</w:t>
      </w:r>
      <w:proofErr w:type="spellEnd"/>
      <w:r>
        <w:rPr>
          <w:rFonts w:ascii="Verdana" w:hAnsi="Verdana"/>
        </w:rPr>
        <w:t xml:space="preserve"> 21).</w:t>
      </w:r>
    </w:p>
    <w:p w:rsidR="00400D4B" w:rsidRPr="00DC385E" w:rsidRDefault="009C42E6" w:rsidP="00400D4B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400D4B">
        <w:rPr>
          <w:rFonts w:ascii="Verdana" w:hAnsi="Verdana"/>
          <w:color w:val="000000"/>
        </w:rPr>
        <w:t>En el presente trimestre se registró el devengado de los gastos y servicios prestados en menor cuantía atento a los días que los proveedores cuentan para presentar la factura, una vez prestado el servicio, como por ejemplo</w:t>
      </w:r>
      <w:r w:rsidR="00BC33B1">
        <w:rPr>
          <w:rFonts w:ascii="Verdana" w:hAnsi="Verdana"/>
          <w:color w:val="000000"/>
        </w:rPr>
        <w:t>:</w:t>
      </w:r>
      <w:r w:rsidR="00400D4B">
        <w:rPr>
          <w:rFonts w:ascii="Verdana" w:hAnsi="Verdana"/>
          <w:color w:val="000000"/>
        </w:rPr>
        <w:t xml:space="preserve"> gastos de Limpieza, comisiones, adquisición de bienes</w:t>
      </w:r>
      <w:r w:rsidR="00BC33B1">
        <w:rPr>
          <w:rFonts w:ascii="Verdana" w:hAnsi="Verdana"/>
          <w:color w:val="000000"/>
        </w:rPr>
        <w:t>,</w:t>
      </w:r>
      <w:r w:rsidR="00400D4B">
        <w:rPr>
          <w:rFonts w:ascii="Verdana" w:hAnsi="Verdana"/>
          <w:color w:val="000000"/>
        </w:rPr>
        <w:t xml:space="preserve"> los cuales impactarán en los próximos trimestres; por tal motivo,  lo ejecutado es menor a lo programado.</w:t>
      </w:r>
      <w:r w:rsidR="00400D4B" w:rsidRPr="00DC385E">
        <w:rPr>
          <w:rFonts w:ascii="Verdana" w:hAnsi="Verdana"/>
          <w:color w:val="000000"/>
        </w:rPr>
        <w:t xml:space="preserve"> </w:t>
      </w:r>
    </w:p>
    <w:p w:rsidR="00400D4B" w:rsidRDefault="00400D4B" w:rsidP="00400D4B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marzo 202</w:t>
      </w:r>
      <w:r w:rsidR="0081452C">
        <w:rPr>
          <w:rFonts w:ascii="Verdana" w:hAnsi="Verdana"/>
          <w:color w:val="000000"/>
        </w:rPr>
        <w:t>3</w:t>
      </w:r>
      <w:r>
        <w:rPr>
          <w:rFonts w:ascii="Verdana" w:hAnsi="Verdana"/>
          <w:color w:val="000000"/>
        </w:rPr>
        <w:t xml:space="preserve"> impacta en el  2do trimestre; sumando a ello </w:t>
      </w:r>
      <w:r>
        <w:rPr>
          <w:rFonts w:ascii="Verdana" w:hAnsi="Verdana"/>
          <w:color w:val="000000"/>
        </w:rPr>
        <w:lastRenderedPageBreak/>
        <w:t>las fluctuaciones de los recursos por la coparticipación Nacional percibidos por la Provincia.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</w:t>
      </w:r>
      <w:r w:rsidR="00234920">
        <w:rPr>
          <w:rFonts w:ascii="Verdana" w:hAnsi="Verdana"/>
        </w:rPr>
        <w:t xml:space="preserve">(04 2470100000) </w:t>
      </w:r>
      <w:r w:rsidR="00C87007" w:rsidRPr="00B33656">
        <w:rPr>
          <w:rFonts w:ascii="Verdana" w:hAnsi="Verdana"/>
        </w:rPr>
        <w:t xml:space="preserve">por un importe de </w:t>
      </w:r>
      <w:r w:rsidR="0081452C" w:rsidRPr="00B33656">
        <w:rPr>
          <w:rFonts w:ascii="Verdana" w:hAnsi="Verdana"/>
        </w:rPr>
        <w:t>$</w:t>
      </w:r>
      <w:r w:rsidR="0081452C">
        <w:rPr>
          <w:rFonts w:ascii="Verdana" w:hAnsi="Verdana"/>
        </w:rPr>
        <w:t>5.933.420,94</w:t>
      </w:r>
      <w:r w:rsidR="0081452C" w:rsidRPr="00B33656">
        <w:rPr>
          <w:rFonts w:ascii="Verdana" w:hAnsi="Verdana"/>
        </w:rPr>
        <w:t xml:space="preserve"> (Pesos </w:t>
      </w:r>
      <w:r w:rsidR="0081452C">
        <w:rPr>
          <w:rFonts w:ascii="Verdana" w:hAnsi="Verdana"/>
        </w:rPr>
        <w:t xml:space="preserve">cinco millones novecientos treinta y tres mil cuatrocientos veinte </w:t>
      </w:r>
      <w:r w:rsidR="0081452C" w:rsidRPr="00B33656">
        <w:rPr>
          <w:rFonts w:ascii="Verdana" w:hAnsi="Verdana"/>
        </w:rPr>
        <w:t xml:space="preserve">con </w:t>
      </w:r>
      <w:r w:rsidR="0081452C">
        <w:rPr>
          <w:rFonts w:ascii="Verdana" w:hAnsi="Verdana"/>
        </w:rPr>
        <w:t>94/</w:t>
      </w:r>
      <w:r w:rsidR="0081452C" w:rsidRPr="00B33656">
        <w:rPr>
          <w:rFonts w:ascii="Verdana" w:hAnsi="Verdana"/>
        </w:rPr>
        <w:t>100)</w:t>
      </w:r>
      <w:r w:rsidR="00C87007" w:rsidRPr="00B33656">
        <w:rPr>
          <w:rFonts w:ascii="Verdana" w:hAnsi="Verdana"/>
        </w:rPr>
        <w:t>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</w:t>
      </w:r>
      <w:r w:rsidR="00234920">
        <w:rPr>
          <w:rFonts w:ascii="Verdana" w:hAnsi="Verdana"/>
        </w:rPr>
        <w:t xml:space="preserve">(04 2470200000) </w:t>
      </w:r>
      <w:r w:rsidR="00C87007" w:rsidRPr="00B33656">
        <w:rPr>
          <w:rFonts w:ascii="Verdana" w:hAnsi="Verdana"/>
        </w:rPr>
        <w:t>por un importe de</w:t>
      </w:r>
      <w:r w:rsidR="0079451A">
        <w:rPr>
          <w:rFonts w:ascii="Verdana" w:hAnsi="Verdana"/>
        </w:rPr>
        <w:t xml:space="preserve"> </w:t>
      </w:r>
      <w:r w:rsidR="0079451A" w:rsidRPr="00B33656">
        <w:rPr>
          <w:rFonts w:ascii="Verdana" w:hAnsi="Verdana"/>
        </w:rPr>
        <w:t>$</w:t>
      </w:r>
      <w:r w:rsidR="0079451A">
        <w:rPr>
          <w:rFonts w:ascii="Verdana" w:hAnsi="Verdana"/>
        </w:rPr>
        <w:t xml:space="preserve">1.160.559,00 </w:t>
      </w:r>
      <w:r w:rsidR="0079451A" w:rsidRPr="00B33656">
        <w:rPr>
          <w:rFonts w:ascii="Verdana" w:hAnsi="Verdana"/>
        </w:rPr>
        <w:t>(Pesos</w:t>
      </w:r>
      <w:r w:rsidR="0079451A">
        <w:rPr>
          <w:rFonts w:ascii="Verdana" w:hAnsi="Verdana"/>
        </w:rPr>
        <w:t xml:space="preserve"> un millón ciento sesenta mil quinientos cincuenta y nueve</w:t>
      </w:r>
      <w:r w:rsidR="0079451A" w:rsidRPr="00B33656">
        <w:rPr>
          <w:rFonts w:ascii="Verdana" w:hAnsi="Verdana"/>
        </w:rPr>
        <w:t>)</w:t>
      </w:r>
      <w:r w:rsidR="00C87007" w:rsidRPr="00B33656">
        <w:rPr>
          <w:rFonts w:ascii="Verdana" w:hAnsi="Verdana"/>
        </w:rPr>
        <w:t>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BB211B" w:rsidRPr="00BB211B" w:rsidRDefault="00B33656" w:rsidP="00BB211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211B">
        <w:rPr>
          <w:rFonts w:ascii="Verdana" w:hAnsi="Verdana"/>
        </w:rPr>
        <w:t xml:space="preserve"> </w:t>
      </w:r>
      <w:r w:rsidRPr="00BB211B">
        <w:rPr>
          <w:rFonts w:ascii="Verdana" w:hAnsi="Verdana"/>
          <w:color w:val="000000"/>
        </w:rPr>
        <w:t xml:space="preserve">Los </w:t>
      </w:r>
      <w:r w:rsidRPr="00BB211B">
        <w:rPr>
          <w:rFonts w:ascii="Verdana" w:hAnsi="Verdana"/>
          <w:b/>
          <w:color w:val="000000"/>
          <w:u w:val="single"/>
        </w:rPr>
        <w:t>Gastos de Capital:</w:t>
      </w:r>
      <w:r w:rsidRPr="00BB211B">
        <w:rPr>
          <w:rFonts w:ascii="Verdana" w:hAnsi="Verdana"/>
          <w:color w:val="000000"/>
        </w:rPr>
        <w:t xml:space="preserve">  </w:t>
      </w:r>
      <w:r w:rsidR="0006121F" w:rsidRPr="00BB211B">
        <w:rPr>
          <w:rFonts w:ascii="Verdana" w:hAnsi="Verdana"/>
          <w:color w:val="000000"/>
        </w:rPr>
        <w:t xml:space="preserve"> </w:t>
      </w:r>
      <w:r w:rsidR="00235AB1" w:rsidRPr="00BB211B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BB211B">
        <w:rPr>
          <w:rFonts w:ascii="Verdana" w:hAnsi="Verdana"/>
        </w:rPr>
        <w:t xml:space="preserve"> monto de $</w:t>
      </w:r>
      <w:r w:rsidR="00A317EA">
        <w:rPr>
          <w:rFonts w:ascii="Verdana" w:hAnsi="Verdana"/>
        </w:rPr>
        <w:t>92.955.239,01</w:t>
      </w:r>
      <w:r w:rsidR="00235AB1" w:rsidRPr="00BB211B">
        <w:rPr>
          <w:rFonts w:ascii="Verdana" w:hAnsi="Verdana"/>
        </w:rPr>
        <w:t xml:space="preserve"> (</w:t>
      </w:r>
      <w:r w:rsidR="00C83304" w:rsidRPr="00BB211B">
        <w:rPr>
          <w:rFonts w:ascii="Verdana" w:hAnsi="Verdana"/>
        </w:rPr>
        <w:t>pesos</w:t>
      </w:r>
      <w:r w:rsidR="00263132" w:rsidRPr="00BB211B">
        <w:rPr>
          <w:rFonts w:ascii="Verdana" w:hAnsi="Verdana"/>
        </w:rPr>
        <w:t xml:space="preserve"> </w:t>
      </w:r>
      <w:r w:rsidR="00A317EA">
        <w:rPr>
          <w:rFonts w:ascii="Verdana" w:hAnsi="Verdana"/>
        </w:rPr>
        <w:t>noventa y dos millones novecientos cincuenta y cinco</w:t>
      </w:r>
      <w:r w:rsidR="00594D81" w:rsidRPr="00BB211B">
        <w:rPr>
          <w:rFonts w:ascii="Verdana" w:hAnsi="Verdana"/>
        </w:rPr>
        <w:t xml:space="preserve"> mil </w:t>
      </w:r>
      <w:r w:rsidR="00A317EA">
        <w:rPr>
          <w:rFonts w:ascii="Verdana" w:hAnsi="Verdana"/>
        </w:rPr>
        <w:t>doscientos treinta y nueve</w:t>
      </w:r>
      <w:r w:rsidR="00BB211B" w:rsidRPr="00BB211B">
        <w:rPr>
          <w:rFonts w:ascii="Verdana" w:hAnsi="Verdana"/>
        </w:rPr>
        <w:t xml:space="preserve"> </w:t>
      </w:r>
      <w:r w:rsidR="00235AB1" w:rsidRPr="00BB211B">
        <w:rPr>
          <w:rFonts w:ascii="Verdana" w:hAnsi="Verdana"/>
        </w:rPr>
        <w:t xml:space="preserve">con </w:t>
      </w:r>
      <w:r w:rsidR="00A317EA">
        <w:rPr>
          <w:rFonts w:ascii="Verdana" w:hAnsi="Verdana"/>
        </w:rPr>
        <w:t>01</w:t>
      </w:r>
      <w:r w:rsidR="00235AB1" w:rsidRPr="00BB211B">
        <w:rPr>
          <w:rFonts w:ascii="Verdana" w:hAnsi="Verdana"/>
        </w:rPr>
        <w:t>/100); que corresponde a</w:t>
      </w:r>
      <w:r w:rsidR="00BB211B" w:rsidRPr="00BB211B">
        <w:rPr>
          <w:rFonts w:ascii="Verdana" w:hAnsi="Verdana"/>
        </w:rPr>
        <w:t xml:space="preserve">: </w:t>
      </w:r>
    </w:p>
    <w:p w:rsidR="000A44AC" w:rsidRDefault="00BB211B" w:rsidP="00BB211B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A)</w:t>
      </w:r>
      <w:r w:rsidR="00235AB1" w:rsidRPr="0040796A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Di</w:t>
      </w:r>
      <w:r w:rsidR="00235AB1" w:rsidRPr="0040796A">
        <w:rPr>
          <w:rFonts w:ascii="Verdana" w:hAnsi="Verdana"/>
          <w:b/>
        </w:rPr>
        <w:t>versas compras de Bienes de Capital</w:t>
      </w:r>
      <w:r w:rsidR="00F611E7">
        <w:rPr>
          <w:rFonts w:ascii="Verdana" w:hAnsi="Verdana"/>
          <w:b/>
        </w:rPr>
        <w:t xml:space="preserve"> por</w:t>
      </w:r>
      <w:r w:rsidR="00594D81">
        <w:rPr>
          <w:rFonts w:ascii="Verdana" w:hAnsi="Verdana"/>
          <w:b/>
        </w:rPr>
        <w:t xml:space="preserve"> la suma de $</w:t>
      </w:r>
      <w:r w:rsidR="00114ECA">
        <w:rPr>
          <w:rFonts w:ascii="Verdana" w:hAnsi="Verdana"/>
          <w:b/>
        </w:rPr>
        <w:t>461.700</w:t>
      </w:r>
      <w:r w:rsidR="00594D81">
        <w:rPr>
          <w:rFonts w:ascii="Verdana" w:hAnsi="Verdana"/>
          <w:b/>
        </w:rPr>
        <w:t>,00</w:t>
      </w:r>
      <w:r w:rsidR="00235AB1" w:rsidRPr="0040796A">
        <w:rPr>
          <w:rFonts w:ascii="Verdana" w:hAnsi="Verdana"/>
        </w:rPr>
        <w:t xml:space="preserve">: </w:t>
      </w:r>
      <w:r w:rsidR="00594D81">
        <w:rPr>
          <w:rFonts w:ascii="Verdana" w:hAnsi="Verdana"/>
        </w:rPr>
        <w:t>Dos</w:t>
      </w:r>
      <w:r w:rsidR="00C61E67">
        <w:rPr>
          <w:rFonts w:ascii="Verdana" w:hAnsi="Verdana"/>
        </w:rPr>
        <w:t xml:space="preserve"> Computadora de escritorio avanzada </w:t>
      </w:r>
      <w:r w:rsidR="00C83304" w:rsidRPr="0040796A">
        <w:rPr>
          <w:rFonts w:ascii="Verdana" w:hAnsi="Verdana"/>
        </w:rPr>
        <w:t xml:space="preserve"> por un monto </w:t>
      </w:r>
      <w:r w:rsidR="0040796A" w:rsidRPr="0040796A">
        <w:rPr>
          <w:rFonts w:ascii="Verdana" w:hAnsi="Verdana"/>
        </w:rPr>
        <w:t xml:space="preserve">total </w:t>
      </w:r>
      <w:r w:rsidR="00C83304" w:rsidRPr="0040796A">
        <w:rPr>
          <w:rFonts w:ascii="Verdana" w:hAnsi="Verdana"/>
        </w:rPr>
        <w:t>de $</w:t>
      </w:r>
      <w:r w:rsidR="00114ECA">
        <w:rPr>
          <w:rFonts w:ascii="Verdana" w:hAnsi="Verdana"/>
        </w:rPr>
        <w:t>399.600</w:t>
      </w:r>
      <w:r w:rsidR="00594D81">
        <w:rPr>
          <w:rFonts w:ascii="Verdana" w:hAnsi="Verdana"/>
        </w:rPr>
        <w:t>,00</w:t>
      </w:r>
      <w:r w:rsidR="00C83304" w:rsidRPr="0040796A">
        <w:rPr>
          <w:rFonts w:ascii="Verdana" w:hAnsi="Verdana"/>
        </w:rPr>
        <w:t xml:space="preserve"> (pesos </w:t>
      </w:r>
      <w:r w:rsidR="0079451A">
        <w:rPr>
          <w:rFonts w:ascii="Verdana" w:hAnsi="Verdana"/>
        </w:rPr>
        <w:t>trescientos noventa y nueve mil seiscientos</w:t>
      </w:r>
      <w:r w:rsidR="00C83304" w:rsidRPr="0040796A">
        <w:rPr>
          <w:rFonts w:ascii="Verdana" w:hAnsi="Verdana"/>
        </w:rPr>
        <w:t>)</w:t>
      </w:r>
      <w:r w:rsidR="0079451A">
        <w:rPr>
          <w:rFonts w:ascii="Verdana" w:hAnsi="Verdana"/>
        </w:rPr>
        <w:t xml:space="preserve"> y </w:t>
      </w:r>
      <w:r w:rsidR="00235AB1" w:rsidRPr="0040796A">
        <w:rPr>
          <w:rFonts w:ascii="Verdana" w:hAnsi="Verdana"/>
        </w:rPr>
        <w:t xml:space="preserve"> </w:t>
      </w:r>
      <w:r w:rsidR="00114ECA">
        <w:rPr>
          <w:rFonts w:ascii="Verdana" w:hAnsi="Verdana"/>
        </w:rPr>
        <w:t>Un monitor de 19”</w:t>
      </w:r>
      <w:r w:rsidR="0079451A">
        <w:rPr>
          <w:rFonts w:ascii="Verdana" w:hAnsi="Verdana"/>
        </w:rPr>
        <w:t xml:space="preserve"> por un monto total de $62.100,00 (pesos sesenta y dos mil cien) </w:t>
      </w:r>
      <w:r w:rsidR="00114ECA">
        <w:rPr>
          <w:rFonts w:ascii="Verdana" w:hAnsi="Verdana"/>
        </w:rPr>
        <w:t xml:space="preserve"> para</w:t>
      </w:r>
      <w:r w:rsidR="0079451A">
        <w:rPr>
          <w:rFonts w:ascii="Verdana" w:hAnsi="Verdana"/>
        </w:rPr>
        <w:t xml:space="preserve"> la</w:t>
      </w:r>
      <w:r w:rsidR="00114ECA">
        <w:rPr>
          <w:rFonts w:ascii="Verdana" w:hAnsi="Verdana"/>
        </w:rPr>
        <w:t xml:space="preserve"> oficina de Asesoría de Gabinete del Ministerio de Hacienda y Finanzas</w:t>
      </w:r>
      <w:r w:rsidR="0040796A" w:rsidRPr="0040796A">
        <w:rPr>
          <w:rFonts w:ascii="Verdana" w:hAnsi="Verdana"/>
        </w:rPr>
        <w:t>.</w:t>
      </w:r>
    </w:p>
    <w:p w:rsidR="00406CF3" w:rsidRDefault="00BB211B" w:rsidP="0040796A">
      <w:pPr>
        <w:spacing w:line="360" w:lineRule="auto"/>
        <w:ind w:left="644"/>
        <w:jc w:val="both"/>
        <w:rPr>
          <w:rFonts w:ascii="Verdana" w:hAnsi="Verdana"/>
          <w:color w:val="000000"/>
        </w:rPr>
      </w:pPr>
      <w:r w:rsidRPr="00BB211B">
        <w:rPr>
          <w:rFonts w:ascii="Verdana" w:hAnsi="Verdana" w:cstheme="minorHAnsi"/>
          <w:color w:val="000000" w:themeColor="text1"/>
        </w:rPr>
        <w:t xml:space="preserve">B) 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Erogaciones de </w:t>
      </w:r>
      <w:r w:rsidR="00B25BFC" w:rsidRPr="00BB211B">
        <w:rPr>
          <w:rFonts w:ascii="Verdana" w:hAnsi="Verdana" w:cstheme="minorHAnsi"/>
          <w:b/>
          <w:color w:val="000000" w:themeColor="text1"/>
        </w:rPr>
        <w:t>C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apital </w:t>
      </w:r>
      <w:proofErr w:type="gramStart"/>
      <w:r w:rsidR="00A234A6" w:rsidRPr="00BB211B">
        <w:rPr>
          <w:rFonts w:ascii="Verdana" w:hAnsi="Verdana" w:cstheme="minorHAnsi"/>
          <w:b/>
          <w:color w:val="000000" w:themeColor="text1"/>
        </w:rPr>
        <w:t xml:space="preserve">( </w:t>
      </w:r>
      <w:r w:rsidR="00114ECA">
        <w:rPr>
          <w:rFonts w:ascii="Verdana" w:hAnsi="Verdana" w:cstheme="minorHAnsi"/>
          <w:b/>
          <w:color w:val="000000" w:themeColor="text1"/>
        </w:rPr>
        <w:t>O</w:t>
      </w:r>
      <w:r w:rsidR="00A234A6" w:rsidRPr="00BB211B">
        <w:rPr>
          <w:rFonts w:ascii="Verdana" w:hAnsi="Verdana" w:cstheme="minorHAnsi"/>
          <w:b/>
          <w:color w:val="000000" w:themeColor="text1"/>
        </w:rPr>
        <w:t>tros</w:t>
      </w:r>
      <w:proofErr w:type="gramEnd"/>
      <w:r w:rsidR="00A234A6" w:rsidRPr="00BB211B">
        <w:rPr>
          <w:rFonts w:ascii="Verdana" w:hAnsi="Verdana" w:cstheme="minorHAnsi"/>
          <w:b/>
          <w:color w:val="000000" w:themeColor="text1"/>
        </w:rPr>
        <w:t xml:space="preserve"> aportes a municipios 55205)</w:t>
      </w:r>
      <w:r w:rsidR="00A234A6" w:rsidRPr="00BB211B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="00114ECA">
        <w:rPr>
          <w:rFonts w:ascii="Verdana" w:hAnsi="Verdana" w:cstheme="minorHAnsi"/>
          <w:color w:val="000000" w:themeColor="text1"/>
        </w:rPr>
        <w:t>92.493.539,01</w:t>
      </w:r>
      <w:r w:rsidRPr="00BB211B">
        <w:rPr>
          <w:rFonts w:ascii="Verdana" w:hAnsi="Verdana" w:cstheme="minorHAnsi"/>
          <w:color w:val="000000" w:themeColor="text1"/>
        </w:rPr>
        <w:t xml:space="preserve"> </w:t>
      </w:r>
      <w:r w:rsidR="00A234A6" w:rsidRPr="00BB211B">
        <w:rPr>
          <w:rFonts w:ascii="Verdana" w:hAnsi="Verdana" w:cstheme="minorHAnsi"/>
          <w:color w:val="000000" w:themeColor="text1"/>
        </w:rPr>
        <w:t xml:space="preserve">(pesos </w:t>
      </w:r>
      <w:r w:rsidR="00B10CFF">
        <w:rPr>
          <w:rFonts w:ascii="Verdana" w:hAnsi="Verdana" w:cstheme="minorHAnsi"/>
          <w:color w:val="000000" w:themeColor="text1"/>
        </w:rPr>
        <w:t xml:space="preserve">noventa y </w:t>
      </w:r>
      <w:r>
        <w:rPr>
          <w:rFonts w:ascii="Verdana" w:hAnsi="Verdana" w:cstheme="minorHAnsi"/>
          <w:color w:val="000000" w:themeColor="text1"/>
        </w:rPr>
        <w:t>dos mi</w:t>
      </w:r>
      <w:r w:rsidR="00B10CFF">
        <w:rPr>
          <w:rFonts w:ascii="Verdana" w:hAnsi="Verdana" w:cstheme="minorHAnsi"/>
          <w:color w:val="000000" w:themeColor="text1"/>
        </w:rPr>
        <w:t xml:space="preserve">llones cuatrocientos noventa y tres mil quinientos treinta y nueve </w:t>
      </w:r>
      <w:r w:rsidR="00A234A6" w:rsidRPr="00BB211B">
        <w:rPr>
          <w:rFonts w:ascii="Verdana" w:hAnsi="Verdana" w:cstheme="minorHAnsi"/>
          <w:color w:val="000000" w:themeColor="text1"/>
        </w:rPr>
        <w:t xml:space="preserve">con </w:t>
      </w:r>
      <w:r w:rsidR="00B10CFF">
        <w:rPr>
          <w:rFonts w:ascii="Verdana" w:hAnsi="Verdana" w:cstheme="minorHAnsi"/>
          <w:color w:val="000000" w:themeColor="text1"/>
        </w:rPr>
        <w:t>01</w:t>
      </w:r>
      <w:r w:rsidR="00A234A6" w:rsidRPr="00BB211B">
        <w:rPr>
          <w:rFonts w:ascii="Verdana" w:hAnsi="Verdana" w:cstheme="minorHAnsi"/>
          <w:color w:val="000000" w:themeColor="text1"/>
        </w:rPr>
        <w:t>/100</w:t>
      </w:r>
      <w:r w:rsidR="00A234A6" w:rsidRPr="001F0AA2">
        <w:rPr>
          <w:rFonts w:ascii="Verdana" w:hAnsi="Verdana" w:cstheme="minorHAnsi"/>
          <w:color w:val="000000" w:themeColor="text1"/>
        </w:rPr>
        <w:t xml:space="preserve">), </w:t>
      </w:r>
      <w:r w:rsidR="0081452C" w:rsidRPr="00CA1AFC">
        <w:rPr>
          <w:rFonts w:ascii="Verdana" w:hAnsi="Verdana" w:cstheme="minorHAnsi"/>
          <w:color w:val="FF0000"/>
        </w:rPr>
        <w:t xml:space="preserve"> </w:t>
      </w:r>
      <w:r w:rsidR="0081452C" w:rsidRPr="001F0AA2">
        <w:rPr>
          <w:rFonts w:ascii="Verdana" w:hAnsi="Verdana" w:cstheme="minorHAnsi"/>
          <w:color w:val="000000" w:themeColor="text1"/>
        </w:rPr>
        <w:t>corresponde</w:t>
      </w:r>
      <w:r w:rsidR="0081452C" w:rsidRPr="00CA1AFC">
        <w:rPr>
          <w:rFonts w:ascii="Verdana" w:hAnsi="Verdana" w:cstheme="minorHAnsi"/>
          <w:color w:val="FF0000"/>
        </w:rPr>
        <w:t xml:space="preserve"> </w:t>
      </w:r>
      <w:r w:rsidR="0081452C" w:rsidRPr="0081452C">
        <w:rPr>
          <w:rFonts w:ascii="Verdana" w:hAnsi="Verdana" w:cstheme="minorHAnsi"/>
          <w:color w:val="000000" w:themeColor="text1"/>
        </w:rPr>
        <w:t>a</w:t>
      </w:r>
      <w:r w:rsidR="0081452C" w:rsidRPr="0081452C">
        <w:rPr>
          <w:rFonts w:ascii="Verdana" w:hAnsi="Verdana" w:cstheme="minorHAnsi"/>
          <w:color w:val="000000" w:themeColor="text1"/>
        </w:rPr>
        <w:t>l Aporte No Reembolsable (ANR) otorgado al Municipio de San Martín en el marco de lo dispuesto por el art. 15 de la Ley</w:t>
      </w:r>
      <w:r w:rsidR="00BC33B1">
        <w:rPr>
          <w:rFonts w:ascii="Verdana" w:hAnsi="Verdana" w:cstheme="minorHAnsi"/>
        </w:rPr>
        <w:t xml:space="preserve"> 9364.</w:t>
      </w:r>
      <w:r w:rsidR="00A234A6" w:rsidRPr="000A44AC">
        <w:rPr>
          <w:rFonts w:ascii="Verdana" w:hAnsi="Verdana" w:cstheme="minorHAnsi"/>
        </w:rPr>
        <w:t xml:space="preserve"> </w:t>
      </w:r>
      <w:r w:rsidR="00406CF3" w:rsidRPr="001F0AA2">
        <w:rPr>
          <w:rFonts w:ascii="Verdana" w:hAnsi="Verdana"/>
        </w:rPr>
        <w:t>Información que surge del CUC 020</w:t>
      </w:r>
      <w:r w:rsidR="00B25BFC" w:rsidRPr="001F0AA2">
        <w:rPr>
          <w:rFonts w:ascii="Verdana" w:hAnsi="Verdana"/>
        </w:rPr>
        <w:t xml:space="preserve"> otorgada por la</w:t>
      </w:r>
      <w:r w:rsidR="00406CF3" w:rsidRPr="001F0AA2">
        <w:rPr>
          <w:rFonts w:ascii="Verdana" w:hAnsi="Verdana"/>
        </w:rPr>
        <w:t xml:space="preserve">  </w:t>
      </w:r>
      <w:r w:rsidR="00406CF3" w:rsidRPr="001F0AA2">
        <w:rPr>
          <w:rFonts w:ascii="Verdana" w:hAnsi="Verdana"/>
          <w:color w:val="000000"/>
        </w:rPr>
        <w:t>Dirección General de Crédito al Sector Público.</w:t>
      </w: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>
        <w:rPr>
          <w:rFonts w:ascii="Verdana" w:hAnsi="Verdana"/>
        </w:rPr>
        <w:t xml:space="preserve"> Central</w:t>
      </w:r>
      <w:r w:rsidR="003722E0" w:rsidRPr="008A5780">
        <w:rPr>
          <w:rFonts w:ascii="Verdana" w:hAnsi="Verdana"/>
        </w:rPr>
        <w:t xml:space="preserve">.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</w:t>
      </w:r>
    </w:p>
    <w:p w:rsidR="00346CA3" w:rsidRPr="00216C08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lastRenderedPageBreak/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 xml:space="preserve">El gasto figurativo </w:t>
      </w:r>
      <w:r w:rsidR="0040796A">
        <w:rPr>
          <w:rFonts w:ascii="Verdana" w:hAnsi="Verdana"/>
        </w:rPr>
        <w:t xml:space="preserve"> ($ </w:t>
      </w:r>
      <w:r w:rsidR="000350DB">
        <w:rPr>
          <w:rFonts w:ascii="Verdana" w:hAnsi="Verdana"/>
        </w:rPr>
        <w:t>53.632.040.652,39</w:t>
      </w:r>
      <w:r w:rsidR="0040796A">
        <w:rPr>
          <w:rFonts w:ascii="Verdana" w:hAnsi="Verdana"/>
        </w:rPr>
        <w:t xml:space="preserve">) </w:t>
      </w:r>
      <w:r w:rsidR="003722E0" w:rsidRPr="003722E0">
        <w:rPr>
          <w:rFonts w:ascii="Verdana" w:hAnsi="Verdana"/>
        </w:rPr>
        <w:t xml:space="preserve">es mayor al </w:t>
      </w:r>
      <w:r w:rsidR="00B25BFC">
        <w:rPr>
          <w:rFonts w:ascii="Verdana" w:hAnsi="Verdana"/>
        </w:rPr>
        <w:t>programado</w:t>
      </w:r>
      <w:r w:rsidR="0040796A">
        <w:rPr>
          <w:rFonts w:ascii="Verdana" w:hAnsi="Verdana"/>
        </w:rPr>
        <w:t xml:space="preserve"> ($ </w:t>
      </w:r>
      <w:r w:rsidR="000350DB">
        <w:rPr>
          <w:rFonts w:ascii="Verdana" w:hAnsi="Verdana"/>
        </w:rPr>
        <w:t>46.299.989.807,88</w:t>
      </w:r>
      <w:r w:rsidR="0040796A">
        <w:rPr>
          <w:rFonts w:ascii="Verdana" w:hAnsi="Verdana"/>
        </w:rPr>
        <w:t>)</w:t>
      </w:r>
      <w:r w:rsidR="003722E0" w:rsidRPr="003722E0">
        <w:rPr>
          <w:rFonts w:ascii="Verdana" w:hAnsi="Verdana"/>
        </w:rPr>
        <w:t>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216C08" w:rsidRDefault="00216C08" w:rsidP="00216C08">
      <w:pPr>
        <w:pStyle w:val="Prrafodelista"/>
        <w:rPr>
          <w:rFonts w:ascii="Verdana" w:hAnsi="Verdana"/>
          <w:u w:color="FFFFFF" w:themeColor="background1"/>
        </w:rPr>
      </w:pPr>
    </w:p>
    <w:p w:rsidR="000A44AC" w:rsidRDefault="00136061" w:rsidP="006C26D2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6C26D2">
        <w:rPr>
          <w:rFonts w:ascii="Verdana" w:hAnsi="Verdana"/>
        </w:rPr>
        <w:t xml:space="preserve">En </w:t>
      </w:r>
      <w:r w:rsidRPr="006C26D2">
        <w:rPr>
          <w:rFonts w:ascii="Verdana" w:hAnsi="Verdana"/>
          <w:b/>
          <w:u w:val="single"/>
        </w:rPr>
        <w:t>Fuentes de Financiamiento:</w:t>
      </w:r>
      <w:r w:rsidR="003722E0" w:rsidRPr="006C26D2">
        <w:rPr>
          <w:rFonts w:ascii="Verdana" w:hAnsi="Verdana"/>
          <w:b/>
        </w:rPr>
        <w:t xml:space="preserve"> </w:t>
      </w:r>
      <w:r w:rsidR="003722E0" w:rsidRPr="006C26D2">
        <w:rPr>
          <w:rFonts w:ascii="Verdana" w:hAnsi="Verdana"/>
        </w:rPr>
        <w:t xml:space="preserve">El ingreso de la fuente de financiamiento respecto a lo programado </w:t>
      </w:r>
      <w:r w:rsidR="00A63129" w:rsidRPr="006C26D2">
        <w:rPr>
          <w:rFonts w:ascii="Verdana" w:hAnsi="Verdana"/>
        </w:rPr>
        <w:t>se analiza</w:t>
      </w:r>
      <w:r w:rsidR="003722E0" w:rsidRPr="006C26D2">
        <w:rPr>
          <w:rFonts w:ascii="Verdana" w:hAnsi="Verdana"/>
        </w:rPr>
        <w:t xml:space="preserve"> a nivel global en la Administración Centra</w:t>
      </w:r>
      <w:r w:rsidR="00C76620" w:rsidRPr="006C26D2">
        <w:rPr>
          <w:rFonts w:ascii="Verdana" w:hAnsi="Verdana"/>
        </w:rPr>
        <w:t>l.</w:t>
      </w:r>
      <w:r w:rsidR="003722E0" w:rsidRPr="006C26D2">
        <w:rPr>
          <w:rFonts w:ascii="Verdana" w:hAnsi="Verdana"/>
        </w:rPr>
        <w:t xml:space="preserve"> </w:t>
      </w:r>
    </w:p>
    <w:p w:rsidR="0079451A" w:rsidRPr="0079451A" w:rsidRDefault="00136061" w:rsidP="0079451A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</w:t>
      </w:r>
      <w:r w:rsidR="00A63129">
        <w:rPr>
          <w:rFonts w:ascii="Verdana" w:hAnsi="Verdana"/>
          <w:color w:val="000000"/>
        </w:rPr>
        <w:t xml:space="preserve">que </w:t>
      </w:r>
      <w:r w:rsidR="00CB5723">
        <w:rPr>
          <w:rFonts w:ascii="Verdana" w:hAnsi="Verdana"/>
          <w:color w:val="000000"/>
        </w:rPr>
        <w:t xml:space="preserve">el </w:t>
      </w:r>
      <w:r w:rsidR="00B33656" w:rsidRPr="00BB10FC">
        <w:rPr>
          <w:rFonts w:ascii="Verdana" w:hAnsi="Verdana"/>
          <w:color w:val="000000"/>
        </w:rPr>
        <w:t xml:space="preserve"> devengado</w:t>
      </w:r>
      <w:r w:rsidR="004B3C27">
        <w:rPr>
          <w:rFonts w:ascii="Verdana" w:hAnsi="Verdana"/>
          <w:color w:val="000000"/>
        </w:rPr>
        <w:t xml:space="preserve"> corresponde a </w:t>
      </w:r>
      <w:r w:rsidR="00B33656" w:rsidRPr="00BB10FC">
        <w:rPr>
          <w:rFonts w:ascii="Verdana" w:hAnsi="Verdana"/>
          <w:color w:val="000000"/>
        </w:rPr>
        <w:t>la deuda flotante</w:t>
      </w:r>
      <w:r w:rsidR="004B3C27">
        <w:rPr>
          <w:rFonts w:ascii="Verdana" w:hAnsi="Verdana"/>
          <w:color w:val="000000"/>
        </w:rPr>
        <w:t xml:space="preserve"> del </w:t>
      </w:r>
      <w:r w:rsidR="00B33656" w:rsidRPr="00BB10FC">
        <w:rPr>
          <w:rFonts w:ascii="Verdana" w:hAnsi="Verdana"/>
          <w:color w:val="000000"/>
        </w:rPr>
        <w:t xml:space="preserve">Ejercicio </w:t>
      </w:r>
      <w:r w:rsidR="00CB5723">
        <w:rPr>
          <w:rFonts w:ascii="Verdana" w:hAnsi="Verdana"/>
          <w:color w:val="000000"/>
        </w:rPr>
        <w:t>202</w:t>
      </w:r>
      <w:r w:rsidR="000350DB">
        <w:rPr>
          <w:rFonts w:ascii="Verdana" w:hAnsi="Verdana"/>
          <w:color w:val="000000"/>
        </w:rPr>
        <w:t>2</w:t>
      </w:r>
      <w:r w:rsidR="00CB5723">
        <w:rPr>
          <w:rFonts w:ascii="Verdana" w:hAnsi="Verdana"/>
          <w:color w:val="000000"/>
        </w:rPr>
        <w:t xml:space="preserve"> </w:t>
      </w:r>
      <w:r w:rsidR="00B33656" w:rsidRPr="00BB10FC">
        <w:rPr>
          <w:rFonts w:ascii="Verdana" w:hAnsi="Verdana"/>
          <w:color w:val="000000"/>
        </w:rPr>
        <w:t>de las partidas Amortización</w:t>
      </w:r>
      <w:r w:rsidR="00B25BFC">
        <w:rPr>
          <w:rFonts w:ascii="Verdana" w:hAnsi="Verdana"/>
          <w:color w:val="000000"/>
        </w:rPr>
        <w:t xml:space="preserve"> de</w:t>
      </w:r>
      <w:r w:rsidR="00B33656" w:rsidRPr="00BB10FC">
        <w:rPr>
          <w:rFonts w:ascii="Verdana" w:hAnsi="Verdana"/>
          <w:color w:val="000000"/>
        </w:rPr>
        <w:t xml:space="preserve"> Deuda Residuos Pasivos</w:t>
      </w:r>
      <w:r w:rsidR="00D35F0C">
        <w:rPr>
          <w:rFonts w:ascii="Verdana" w:hAnsi="Verdana"/>
          <w:color w:val="000000"/>
        </w:rPr>
        <w:t xml:space="preserve"> s/OP</w:t>
      </w:r>
      <w:r w:rsidR="00B33656" w:rsidRPr="00BB10FC">
        <w:rPr>
          <w:rFonts w:ascii="Verdana" w:hAnsi="Verdana"/>
          <w:color w:val="000000"/>
        </w:rPr>
        <w:t xml:space="preserve"> (74101)</w:t>
      </w:r>
      <w:r w:rsidR="00C41D69">
        <w:rPr>
          <w:rFonts w:ascii="Verdana" w:hAnsi="Verdana"/>
          <w:color w:val="000000"/>
        </w:rPr>
        <w:t xml:space="preserve"> por la suma de $</w:t>
      </w:r>
      <w:r w:rsidR="00D35F0C">
        <w:rPr>
          <w:rFonts w:ascii="Verdana" w:hAnsi="Verdana"/>
          <w:color w:val="000000"/>
        </w:rPr>
        <w:t>26.475.532,10</w:t>
      </w:r>
      <w:r w:rsidR="00C41D69">
        <w:rPr>
          <w:rFonts w:ascii="Verdana" w:hAnsi="Verdana"/>
          <w:color w:val="000000"/>
        </w:rPr>
        <w:t xml:space="preserve"> (pesos </w:t>
      </w:r>
      <w:r w:rsidR="00D35F0C">
        <w:rPr>
          <w:rFonts w:ascii="Verdana" w:hAnsi="Verdana"/>
          <w:color w:val="000000"/>
        </w:rPr>
        <w:t>veintiséis millones cuatrocientos setenta y cinco</w:t>
      </w:r>
      <w:r w:rsidR="00C41D69">
        <w:rPr>
          <w:rFonts w:ascii="Verdana" w:hAnsi="Verdana"/>
          <w:color w:val="000000"/>
        </w:rPr>
        <w:t xml:space="preserve"> mil </w:t>
      </w:r>
      <w:r w:rsidR="00D35F0C">
        <w:rPr>
          <w:rFonts w:ascii="Verdana" w:hAnsi="Verdana"/>
          <w:color w:val="000000"/>
        </w:rPr>
        <w:t xml:space="preserve">quinientos </w:t>
      </w:r>
      <w:r w:rsidR="00C41D69">
        <w:rPr>
          <w:rFonts w:ascii="Verdana" w:hAnsi="Verdana"/>
          <w:color w:val="000000"/>
        </w:rPr>
        <w:t>treinta</w:t>
      </w:r>
      <w:r w:rsidR="00D35F0C">
        <w:rPr>
          <w:rFonts w:ascii="Verdana" w:hAnsi="Verdana"/>
          <w:color w:val="000000"/>
        </w:rPr>
        <w:t xml:space="preserve"> dos con 10/100</w:t>
      </w:r>
      <w:r w:rsidR="00C41D69">
        <w:rPr>
          <w:rFonts w:ascii="Verdana" w:hAnsi="Verdana"/>
          <w:color w:val="000000"/>
        </w:rPr>
        <w:t>)</w:t>
      </w:r>
      <w:r w:rsidR="005A3F81">
        <w:rPr>
          <w:rFonts w:ascii="Verdana" w:hAnsi="Verdana"/>
          <w:color w:val="000000"/>
        </w:rPr>
        <w:t xml:space="preserve"> </w:t>
      </w:r>
      <w:r w:rsidR="00D62F89">
        <w:rPr>
          <w:rFonts w:ascii="Verdana" w:hAnsi="Verdana"/>
          <w:color w:val="000000"/>
        </w:rPr>
        <w:t xml:space="preserve">y </w:t>
      </w:r>
      <w:r w:rsidR="00D35F0C" w:rsidRPr="00BB10FC">
        <w:rPr>
          <w:rFonts w:ascii="Verdana" w:hAnsi="Verdana"/>
          <w:color w:val="000000"/>
        </w:rPr>
        <w:t>Amortización</w:t>
      </w:r>
      <w:r w:rsidR="00D35F0C">
        <w:rPr>
          <w:rFonts w:ascii="Verdana" w:hAnsi="Verdana"/>
          <w:color w:val="000000"/>
        </w:rPr>
        <w:t xml:space="preserve"> de</w:t>
      </w:r>
      <w:r w:rsidR="00D35F0C" w:rsidRPr="00BB10FC">
        <w:rPr>
          <w:rFonts w:ascii="Verdana" w:hAnsi="Verdana"/>
          <w:color w:val="000000"/>
        </w:rPr>
        <w:t xml:space="preserve"> Deuda Residuos Pasivos</w:t>
      </w:r>
      <w:r w:rsidR="00D35F0C">
        <w:rPr>
          <w:rFonts w:ascii="Verdana" w:hAnsi="Verdana"/>
          <w:color w:val="000000"/>
        </w:rPr>
        <w:t xml:space="preserve"> </w:t>
      </w:r>
      <w:r w:rsidR="00BC33B1">
        <w:rPr>
          <w:rFonts w:ascii="Verdana" w:hAnsi="Verdana"/>
          <w:color w:val="000000"/>
        </w:rPr>
        <w:t>c</w:t>
      </w:r>
      <w:r w:rsidR="00D35F0C">
        <w:rPr>
          <w:rFonts w:ascii="Verdana" w:hAnsi="Verdana"/>
          <w:color w:val="000000"/>
        </w:rPr>
        <w:t>/OP</w:t>
      </w:r>
      <w:r w:rsidR="00D35F0C" w:rsidRPr="00BB10FC">
        <w:rPr>
          <w:rFonts w:ascii="Verdana" w:hAnsi="Verdana"/>
          <w:color w:val="000000"/>
        </w:rPr>
        <w:t xml:space="preserve"> (7410</w:t>
      </w:r>
      <w:r w:rsidR="00D35F0C">
        <w:rPr>
          <w:rFonts w:ascii="Verdana" w:hAnsi="Verdana"/>
          <w:color w:val="000000"/>
        </w:rPr>
        <w:t>2</w:t>
      </w:r>
      <w:r w:rsidR="00D35F0C" w:rsidRPr="00BB10FC">
        <w:rPr>
          <w:rFonts w:ascii="Verdana" w:hAnsi="Verdana"/>
          <w:color w:val="000000"/>
        </w:rPr>
        <w:t>)</w:t>
      </w:r>
      <w:r w:rsidR="00C41D69">
        <w:rPr>
          <w:rFonts w:ascii="Verdana" w:hAnsi="Verdana"/>
          <w:color w:val="000000"/>
        </w:rPr>
        <w:t xml:space="preserve"> por un monto de $ </w:t>
      </w:r>
      <w:r w:rsidR="00D35F0C">
        <w:rPr>
          <w:rFonts w:ascii="Verdana" w:hAnsi="Verdana"/>
          <w:color w:val="000000"/>
        </w:rPr>
        <w:t>28.071.494.686,53</w:t>
      </w:r>
      <w:r w:rsidR="00C41D69">
        <w:rPr>
          <w:rFonts w:ascii="Verdana" w:hAnsi="Verdana"/>
          <w:color w:val="000000"/>
        </w:rPr>
        <w:t xml:space="preserve"> (pe</w:t>
      </w:r>
      <w:r w:rsidR="000A44AC">
        <w:rPr>
          <w:rFonts w:ascii="Verdana" w:hAnsi="Verdana"/>
          <w:color w:val="000000"/>
        </w:rPr>
        <w:t>s</w:t>
      </w:r>
      <w:r w:rsidR="00C41D69">
        <w:rPr>
          <w:rFonts w:ascii="Verdana" w:hAnsi="Verdana"/>
          <w:color w:val="000000"/>
        </w:rPr>
        <w:t xml:space="preserve">os </w:t>
      </w:r>
      <w:r w:rsidR="00D35F0C">
        <w:rPr>
          <w:rFonts w:ascii="Verdana" w:hAnsi="Verdana"/>
          <w:color w:val="000000"/>
        </w:rPr>
        <w:t xml:space="preserve">veintiocho mil  setenta y un millones cuatrocientos noventa y cuatro </w:t>
      </w:r>
      <w:r w:rsidR="00C41D69">
        <w:rPr>
          <w:rFonts w:ascii="Verdana" w:hAnsi="Verdana"/>
          <w:color w:val="000000"/>
        </w:rPr>
        <w:t xml:space="preserve">mil </w:t>
      </w:r>
      <w:r w:rsidR="00D35F0C">
        <w:rPr>
          <w:rFonts w:ascii="Verdana" w:hAnsi="Verdana"/>
          <w:color w:val="000000"/>
        </w:rPr>
        <w:t>seiscientos ochenta y seis</w:t>
      </w:r>
      <w:r w:rsidR="00C41D69">
        <w:rPr>
          <w:rFonts w:ascii="Verdana" w:hAnsi="Verdana"/>
          <w:color w:val="000000"/>
        </w:rPr>
        <w:t xml:space="preserve"> con </w:t>
      </w:r>
      <w:r w:rsidR="00D35F0C">
        <w:rPr>
          <w:rFonts w:ascii="Verdana" w:hAnsi="Verdana"/>
          <w:color w:val="000000"/>
        </w:rPr>
        <w:t>53</w:t>
      </w:r>
      <w:r w:rsidR="00C41D69">
        <w:rPr>
          <w:rFonts w:ascii="Verdana" w:hAnsi="Verdana"/>
          <w:color w:val="000000"/>
        </w:rPr>
        <w:t>/100)</w:t>
      </w:r>
      <w:r w:rsidR="00CB5723">
        <w:rPr>
          <w:rFonts w:ascii="Verdana" w:hAnsi="Verdana"/>
          <w:color w:val="000000"/>
        </w:rPr>
        <w:t xml:space="preserve"> </w:t>
      </w:r>
      <w:r w:rsidR="004B3C27">
        <w:rPr>
          <w:rFonts w:ascii="Verdana" w:hAnsi="Verdana"/>
          <w:color w:val="000000"/>
        </w:rPr>
        <w:t>concepto</w:t>
      </w:r>
      <w:r w:rsidR="00C41D69">
        <w:rPr>
          <w:rFonts w:ascii="Verdana" w:hAnsi="Verdana"/>
          <w:color w:val="000000"/>
        </w:rPr>
        <w:t>s</w:t>
      </w:r>
      <w:r w:rsidR="004B3C27">
        <w:rPr>
          <w:rFonts w:ascii="Verdana" w:hAnsi="Verdana"/>
          <w:color w:val="000000"/>
        </w:rPr>
        <w:t xml:space="preserve"> </w:t>
      </w:r>
      <w:r w:rsidR="005A3F81">
        <w:rPr>
          <w:rFonts w:ascii="Verdana" w:hAnsi="Verdana"/>
          <w:color w:val="000000"/>
        </w:rPr>
        <w:t xml:space="preserve">no </w:t>
      </w:r>
      <w:r w:rsidR="00CB5723">
        <w:rPr>
          <w:rFonts w:ascii="Verdana" w:hAnsi="Verdana"/>
          <w:color w:val="000000"/>
        </w:rPr>
        <w:t>programado</w:t>
      </w:r>
      <w:r w:rsidR="00BC33B1">
        <w:rPr>
          <w:rFonts w:ascii="Verdana" w:hAnsi="Verdana"/>
          <w:color w:val="000000"/>
        </w:rPr>
        <w:t>s</w:t>
      </w:r>
      <w:bookmarkStart w:id="0" w:name="_GoBack"/>
      <w:bookmarkEnd w:id="0"/>
      <w:r w:rsidR="004B3C27">
        <w:rPr>
          <w:rFonts w:ascii="Verdana" w:hAnsi="Verdana"/>
          <w:color w:val="000000"/>
        </w:rPr>
        <w:t>.</w:t>
      </w:r>
    </w:p>
    <w:p w:rsidR="00B33656" w:rsidRPr="005F4CD1" w:rsidRDefault="000A44AC" w:rsidP="005F4CD1">
      <w:pPr>
        <w:pStyle w:val="Prrafodelista"/>
        <w:numPr>
          <w:ilvl w:val="0"/>
          <w:numId w:val="6"/>
        </w:numPr>
        <w:spacing w:after="200" w:line="360" w:lineRule="auto"/>
        <w:ind w:left="644" w:hanging="437"/>
        <w:jc w:val="both"/>
        <w:rPr>
          <w:rFonts w:ascii="Verdana" w:hAnsi="Verdana"/>
        </w:rPr>
      </w:pPr>
      <w:r w:rsidRPr="005F4CD1">
        <w:rPr>
          <w:rFonts w:ascii="Verdana" w:hAnsi="Verdana" w:cstheme="minorHAnsi"/>
        </w:rPr>
        <w:t xml:space="preserve">Con respecto a Amortización de Capital por otras deudas (amortización de la deuda consolidada 72103) en este trimestre se ejecutó en mayor medida, </w:t>
      </w:r>
      <w:r w:rsidR="0079451A" w:rsidRPr="005F4CD1">
        <w:rPr>
          <w:rFonts w:ascii="Verdana" w:hAnsi="Verdana" w:cstheme="minorHAnsi"/>
          <w:color w:val="000000" w:themeColor="text1"/>
        </w:rPr>
        <w:t xml:space="preserve">debido principalmente, a la registración presupuestaria del primer servicio de amortización del Bono Mendoza 2029 (PMM29); por lo cual, se ha producido una ejecución mayor de la partida 72103 respecto a lo programado financieramente a fines de 2022, debido a la evolución del tipo de cambio en mayor medida de lo proyectado. El monto de </w:t>
      </w:r>
      <w:r w:rsidR="005F4CD1">
        <w:rPr>
          <w:rFonts w:ascii="Verdana" w:hAnsi="Verdana" w:cstheme="minorHAnsi"/>
          <w:color w:val="000000" w:themeColor="text1"/>
        </w:rPr>
        <w:t>$458.467.876,76</w:t>
      </w:r>
      <w:r w:rsidR="0079451A" w:rsidRPr="005F4CD1">
        <w:rPr>
          <w:rFonts w:ascii="Verdana" w:hAnsi="Verdana" w:cstheme="minorHAnsi"/>
          <w:color w:val="000000" w:themeColor="text1"/>
        </w:rPr>
        <w:t xml:space="preserve"> de pesos corresponde a deuda flotante del ejercicio 2022, de la partida amortización de deuda acreedores varios (74102), debido a las órdenes de pago realizadas en el marco del Programa de Inversión Productiva Municipal, por los préstamos otorgados a municipios, según art. 40 de la Ley 9356 y por los Aportes No Reembolsables (ANR), según art. 15 de la Ley 9364.</w:t>
      </w:r>
      <w:r w:rsidRPr="005F4CD1">
        <w:rPr>
          <w:rFonts w:ascii="Verdana" w:hAnsi="Verdana" w:cstheme="minorHAnsi"/>
          <w:color w:val="000000" w:themeColor="text1"/>
        </w:rPr>
        <w:t xml:space="preserve"> </w:t>
      </w:r>
      <w:r w:rsidR="006060B7" w:rsidRPr="005F4CD1">
        <w:rPr>
          <w:rFonts w:ascii="Verdana" w:hAnsi="Verdana" w:cstheme="minorHAnsi"/>
          <w:color w:val="000000" w:themeColor="text1"/>
        </w:rPr>
        <w:t xml:space="preserve"> </w:t>
      </w:r>
      <w:r w:rsidR="00E61B16" w:rsidRPr="005F4CD1">
        <w:rPr>
          <w:rFonts w:ascii="Verdana" w:hAnsi="Verdana"/>
        </w:rPr>
        <w:t xml:space="preserve">Información que surge del CUC 020 </w:t>
      </w:r>
      <w:r w:rsidR="00B25BFC" w:rsidRPr="005F4CD1">
        <w:rPr>
          <w:rFonts w:ascii="Verdana" w:hAnsi="Verdana"/>
        </w:rPr>
        <w:t xml:space="preserve">suministrada por la </w:t>
      </w:r>
      <w:r w:rsidR="00E61B16" w:rsidRPr="005F4CD1">
        <w:rPr>
          <w:rFonts w:ascii="Verdana" w:hAnsi="Verdana"/>
          <w:color w:val="000000"/>
        </w:rPr>
        <w:t xml:space="preserve">Dirección </w:t>
      </w:r>
      <w:r w:rsidRPr="005F4CD1">
        <w:rPr>
          <w:rFonts w:ascii="Verdana" w:hAnsi="Verdana"/>
          <w:color w:val="000000"/>
        </w:rPr>
        <w:t xml:space="preserve"> </w:t>
      </w:r>
      <w:r w:rsidR="00E61B16" w:rsidRPr="005F4CD1">
        <w:rPr>
          <w:rFonts w:ascii="Verdana" w:hAnsi="Verdana"/>
          <w:color w:val="000000"/>
        </w:rPr>
        <w:t>General de Crédito al Sector Público.</w:t>
      </w:r>
    </w:p>
    <w:sectPr w:rsidR="00B33656" w:rsidRPr="005F4CD1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F5A" w:rsidRDefault="008E2F5A" w:rsidP="00022F60">
      <w:r>
        <w:separator/>
      </w:r>
    </w:p>
  </w:endnote>
  <w:endnote w:type="continuationSeparator" w:id="0">
    <w:p w:rsidR="008E2F5A" w:rsidRDefault="008E2F5A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F5A" w:rsidRDefault="008E2F5A" w:rsidP="00022F60">
      <w:r>
        <w:separator/>
      </w:r>
    </w:p>
  </w:footnote>
  <w:footnote w:type="continuationSeparator" w:id="0">
    <w:p w:rsidR="008E2F5A" w:rsidRDefault="008E2F5A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62283984" wp14:editId="3C335718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8E2F5A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A63129" w:rsidRDefault="00A63129" w:rsidP="00A63129">
    <w:pPr>
      <w:pStyle w:val="Encabezado"/>
      <w:rPr>
        <w:rFonts w:ascii="ArialRoundedMTBold" w:hAnsi="ArialRoundedMTBold"/>
        <w:b/>
        <w:bCs/>
        <w:color w:val="000000"/>
        <w:u w:val="single"/>
      </w:rPr>
    </w:pPr>
  </w:p>
  <w:p w:rsidR="00A63129" w:rsidRPr="00C3094E" w:rsidRDefault="00A63129" w:rsidP="00A63129">
    <w:pPr>
      <w:pStyle w:val="Encabezado"/>
      <w:rPr>
        <w:b/>
        <w:u w:val="single"/>
      </w:rPr>
    </w:pP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350DB"/>
    <w:rsid w:val="00053410"/>
    <w:rsid w:val="00054EE2"/>
    <w:rsid w:val="00057AE5"/>
    <w:rsid w:val="000606CC"/>
    <w:rsid w:val="0006093C"/>
    <w:rsid w:val="0006121F"/>
    <w:rsid w:val="00067998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75875"/>
    <w:rsid w:val="001812E1"/>
    <w:rsid w:val="00181D95"/>
    <w:rsid w:val="00183AF2"/>
    <w:rsid w:val="00184129"/>
    <w:rsid w:val="00187B1E"/>
    <w:rsid w:val="001905EA"/>
    <w:rsid w:val="001929FB"/>
    <w:rsid w:val="00196A55"/>
    <w:rsid w:val="0019724F"/>
    <w:rsid w:val="0019798D"/>
    <w:rsid w:val="001B2EF9"/>
    <w:rsid w:val="001B3409"/>
    <w:rsid w:val="001B579A"/>
    <w:rsid w:val="001E0F2E"/>
    <w:rsid w:val="001F0814"/>
    <w:rsid w:val="001F0AA2"/>
    <w:rsid w:val="001F653A"/>
    <w:rsid w:val="001F695E"/>
    <w:rsid w:val="00203F0A"/>
    <w:rsid w:val="0020522C"/>
    <w:rsid w:val="00206DEB"/>
    <w:rsid w:val="00213C92"/>
    <w:rsid w:val="00216C08"/>
    <w:rsid w:val="00224A30"/>
    <w:rsid w:val="002277AD"/>
    <w:rsid w:val="002313F3"/>
    <w:rsid w:val="00232370"/>
    <w:rsid w:val="0023434C"/>
    <w:rsid w:val="00234920"/>
    <w:rsid w:val="00235AB1"/>
    <w:rsid w:val="0024444C"/>
    <w:rsid w:val="00244803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4DE9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0683"/>
    <w:rsid w:val="00395FDE"/>
    <w:rsid w:val="0039746C"/>
    <w:rsid w:val="003A4419"/>
    <w:rsid w:val="003A7D26"/>
    <w:rsid w:val="003B0116"/>
    <w:rsid w:val="003B31EB"/>
    <w:rsid w:val="003B5F3E"/>
    <w:rsid w:val="003B653A"/>
    <w:rsid w:val="003C237D"/>
    <w:rsid w:val="003C71E2"/>
    <w:rsid w:val="003F04AA"/>
    <w:rsid w:val="00400D4B"/>
    <w:rsid w:val="00401344"/>
    <w:rsid w:val="0040331B"/>
    <w:rsid w:val="00404ACD"/>
    <w:rsid w:val="004065C1"/>
    <w:rsid w:val="00406CF3"/>
    <w:rsid w:val="0040796A"/>
    <w:rsid w:val="00411B56"/>
    <w:rsid w:val="00413433"/>
    <w:rsid w:val="00416155"/>
    <w:rsid w:val="00416A8C"/>
    <w:rsid w:val="0042084D"/>
    <w:rsid w:val="00424043"/>
    <w:rsid w:val="0043204A"/>
    <w:rsid w:val="00434D94"/>
    <w:rsid w:val="00440DA3"/>
    <w:rsid w:val="004509E8"/>
    <w:rsid w:val="0045422C"/>
    <w:rsid w:val="00465436"/>
    <w:rsid w:val="004756B8"/>
    <w:rsid w:val="004768B6"/>
    <w:rsid w:val="00482D8E"/>
    <w:rsid w:val="00484B5F"/>
    <w:rsid w:val="004850ED"/>
    <w:rsid w:val="00487680"/>
    <w:rsid w:val="00493D56"/>
    <w:rsid w:val="004A13FD"/>
    <w:rsid w:val="004A1F87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911DB"/>
    <w:rsid w:val="00594D81"/>
    <w:rsid w:val="005A14FF"/>
    <w:rsid w:val="005A37E7"/>
    <w:rsid w:val="005A3F81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4CD1"/>
    <w:rsid w:val="005F6AF1"/>
    <w:rsid w:val="006060B7"/>
    <w:rsid w:val="00606D2B"/>
    <w:rsid w:val="00614107"/>
    <w:rsid w:val="00617939"/>
    <w:rsid w:val="00624603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77095"/>
    <w:rsid w:val="00780B89"/>
    <w:rsid w:val="00786B68"/>
    <w:rsid w:val="00787663"/>
    <w:rsid w:val="00793E33"/>
    <w:rsid w:val="0079451A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123C"/>
    <w:rsid w:val="007E548B"/>
    <w:rsid w:val="007F6962"/>
    <w:rsid w:val="008119B5"/>
    <w:rsid w:val="0081452C"/>
    <w:rsid w:val="00814544"/>
    <w:rsid w:val="00815463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2F5A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FCC"/>
    <w:rsid w:val="00952403"/>
    <w:rsid w:val="0095349E"/>
    <w:rsid w:val="00960C62"/>
    <w:rsid w:val="009646D4"/>
    <w:rsid w:val="00975BA3"/>
    <w:rsid w:val="00982571"/>
    <w:rsid w:val="00985FBB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234A6"/>
    <w:rsid w:val="00A2651D"/>
    <w:rsid w:val="00A317EA"/>
    <w:rsid w:val="00A324DA"/>
    <w:rsid w:val="00A33012"/>
    <w:rsid w:val="00A363C8"/>
    <w:rsid w:val="00A37DD5"/>
    <w:rsid w:val="00A42AFB"/>
    <w:rsid w:val="00A525B6"/>
    <w:rsid w:val="00A5346C"/>
    <w:rsid w:val="00A57B98"/>
    <w:rsid w:val="00A63129"/>
    <w:rsid w:val="00A66352"/>
    <w:rsid w:val="00A74375"/>
    <w:rsid w:val="00A81E65"/>
    <w:rsid w:val="00A879A2"/>
    <w:rsid w:val="00AA0724"/>
    <w:rsid w:val="00AA1382"/>
    <w:rsid w:val="00AA420E"/>
    <w:rsid w:val="00AA78F7"/>
    <w:rsid w:val="00AC562A"/>
    <w:rsid w:val="00AC5D75"/>
    <w:rsid w:val="00AC708E"/>
    <w:rsid w:val="00AD284A"/>
    <w:rsid w:val="00AD4114"/>
    <w:rsid w:val="00AD624D"/>
    <w:rsid w:val="00AE038F"/>
    <w:rsid w:val="00AE155D"/>
    <w:rsid w:val="00AF2252"/>
    <w:rsid w:val="00AF6330"/>
    <w:rsid w:val="00B038CA"/>
    <w:rsid w:val="00B10CFF"/>
    <w:rsid w:val="00B14E55"/>
    <w:rsid w:val="00B2430F"/>
    <w:rsid w:val="00B25BFC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211B"/>
    <w:rsid w:val="00BB3714"/>
    <w:rsid w:val="00BB77D8"/>
    <w:rsid w:val="00BC2362"/>
    <w:rsid w:val="00BC33B1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61E67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B04"/>
    <w:rsid w:val="00CA0502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35F0C"/>
    <w:rsid w:val="00D429AE"/>
    <w:rsid w:val="00D43372"/>
    <w:rsid w:val="00D50327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C238E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32D4"/>
    <w:rsid w:val="00F443C0"/>
    <w:rsid w:val="00F47610"/>
    <w:rsid w:val="00F5570A"/>
    <w:rsid w:val="00F574A8"/>
    <w:rsid w:val="00F611E7"/>
    <w:rsid w:val="00F61A92"/>
    <w:rsid w:val="00F62D43"/>
    <w:rsid w:val="00F6460C"/>
    <w:rsid w:val="00F65C9F"/>
    <w:rsid w:val="00F7009A"/>
    <w:rsid w:val="00F762CA"/>
    <w:rsid w:val="00F76A24"/>
    <w:rsid w:val="00F91061"/>
    <w:rsid w:val="00F93451"/>
    <w:rsid w:val="00F96000"/>
    <w:rsid w:val="00FA0284"/>
    <w:rsid w:val="00FA699C"/>
    <w:rsid w:val="00FA6C64"/>
    <w:rsid w:val="00FB05F9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768D8-2DD9-44AB-85BA-CD550F8B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4688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5529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2023-05-10T17:17:00Z</cp:lastPrinted>
  <dcterms:created xsi:type="dcterms:W3CDTF">2023-05-10T18:27:00Z</dcterms:created>
  <dcterms:modified xsi:type="dcterms:W3CDTF">2023-05-10T18:27:00Z</dcterms:modified>
</cp:coreProperties>
</file>