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805E09">
        <w:rPr>
          <w:b/>
          <w:sz w:val="24"/>
          <w:szCs w:val="24"/>
        </w:rPr>
        <w:t>4</w:t>
      </w:r>
      <w:r w:rsidR="00221A64" w:rsidRPr="00395BDA">
        <w:rPr>
          <w:b/>
          <w:sz w:val="24"/>
          <w:szCs w:val="24"/>
        </w:rPr>
        <w:t>º) trimestre de 2.0</w:t>
      </w:r>
      <w:r w:rsidR="00BF7DCB">
        <w:rPr>
          <w:b/>
          <w:sz w:val="24"/>
          <w:szCs w:val="24"/>
        </w:rPr>
        <w:t>2</w:t>
      </w:r>
      <w:r w:rsidR="00F07410">
        <w:rPr>
          <w:b/>
          <w:sz w:val="24"/>
          <w:szCs w:val="24"/>
        </w:rPr>
        <w:t>2</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F07410">
        <w:rPr>
          <w:color w:val="000000"/>
          <w:sz w:val="24"/>
          <w:szCs w:val="24"/>
        </w:rPr>
        <w:t>356</w:t>
      </w:r>
      <w:r>
        <w:rPr>
          <w:color w:val="000000"/>
          <w:sz w:val="24"/>
          <w:szCs w:val="24"/>
        </w:rPr>
        <w:t>/202</w:t>
      </w:r>
      <w:r w:rsidR="00F07410">
        <w:rPr>
          <w:color w:val="000000"/>
          <w:sz w:val="24"/>
          <w:szCs w:val="24"/>
        </w:rPr>
        <w:t>1</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Pr>
          <w:color w:val="000000"/>
          <w:sz w:val="24"/>
          <w:szCs w:val="24"/>
        </w:rPr>
        <w:t>1</w:t>
      </w:r>
      <w:r w:rsidR="00F07410">
        <w:rPr>
          <w:color w:val="000000"/>
          <w:sz w:val="24"/>
          <w:szCs w:val="24"/>
        </w:rPr>
        <w:t>6</w:t>
      </w:r>
      <w:r>
        <w:rPr>
          <w:color w:val="000000"/>
          <w:sz w:val="24"/>
          <w:szCs w:val="24"/>
        </w:rPr>
        <w:t>.</w:t>
      </w:r>
      <w:r w:rsidR="00BC6C68">
        <w:rPr>
          <w:color w:val="000000"/>
          <w:sz w:val="24"/>
          <w:szCs w:val="24"/>
        </w:rPr>
        <w:t>900</w:t>
      </w:r>
      <w:r>
        <w:rPr>
          <w:color w:val="000000"/>
          <w:sz w:val="24"/>
          <w:szCs w:val="24"/>
        </w:rPr>
        <w:t>.7</w:t>
      </w:r>
      <w:r w:rsidR="00BC6C68">
        <w:rPr>
          <w:color w:val="000000"/>
          <w:sz w:val="24"/>
          <w:szCs w:val="24"/>
        </w:rPr>
        <w:t>78</w:t>
      </w:r>
      <w:r w:rsidRPr="001E538C">
        <w:rPr>
          <w:color w:val="000000"/>
          <w:sz w:val="24"/>
          <w:szCs w:val="24"/>
        </w:rPr>
        <w:t>,</w:t>
      </w:r>
      <w:r w:rsidR="00BC6C68">
        <w:rPr>
          <w:color w:val="000000"/>
          <w:sz w:val="24"/>
          <w:szCs w:val="24"/>
        </w:rPr>
        <w:t>76</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BC6C68">
        <w:rPr>
          <w:color w:val="000000"/>
          <w:sz w:val="24"/>
          <w:szCs w:val="24"/>
        </w:rPr>
        <w:t>1.473</w:t>
      </w:r>
      <w:r w:rsidR="00CF7A8D">
        <w:rPr>
          <w:color w:val="000000"/>
          <w:sz w:val="24"/>
          <w:szCs w:val="24"/>
        </w:rPr>
        <w:t>.515,00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BC6C68">
        <w:rPr>
          <w:color w:val="000000"/>
          <w:sz w:val="24"/>
          <w:szCs w:val="24"/>
        </w:rPr>
        <w:t>10</w:t>
      </w:r>
      <w:r w:rsidR="000E1E69">
        <w:rPr>
          <w:color w:val="000000"/>
          <w:sz w:val="24"/>
          <w:szCs w:val="24"/>
        </w:rPr>
        <w:t>.</w:t>
      </w:r>
      <w:r w:rsidR="00BC6C68">
        <w:rPr>
          <w:color w:val="000000"/>
          <w:sz w:val="24"/>
          <w:szCs w:val="24"/>
        </w:rPr>
        <w:t>200</w:t>
      </w:r>
      <w:r w:rsidR="000E1E69">
        <w:rPr>
          <w:color w:val="000000"/>
          <w:sz w:val="24"/>
          <w:szCs w:val="24"/>
        </w:rPr>
        <w:t>.520</w:t>
      </w:r>
      <w:r w:rsidRPr="001E538C">
        <w:rPr>
          <w:color w:val="000000"/>
          <w:sz w:val="24"/>
          <w:szCs w:val="24"/>
        </w:rPr>
        <w:t>,</w:t>
      </w:r>
      <w:r>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F07410">
        <w:rPr>
          <w:color w:val="000000"/>
          <w:sz w:val="24"/>
          <w:szCs w:val="24"/>
        </w:rPr>
        <w:t>1.166</w:t>
      </w:r>
      <w:r>
        <w:rPr>
          <w:color w:val="000000"/>
          <w:sz w:val="24"/>
          <w:szCs w:val="24"/>
        </w:rPr>
        <w:t>.</w:t>
      </w:r>
      <w:r w:rsidR="00F07410">
        <w:rPr>
          <w:color w:val="000000"/>
          <w:sz w:val="24"/>
          <w:szCs w:val="24"/>
        </w:rPr>
        <w:t>4</w:t>
      </w:r>
      <w:r>
        <w:rPr>
          <w:color w:val="000000"/>
          <w:sz w:val="24"/>
          <w:szCs w:val="24"/>
        </w:rPr>
        <w:t>00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BC6C68">
        <w:rPr>
          <w:color w:val="000000"/>
          <w:sz w:val="24"/>
          <w:szCs w:val="24"/>
        </w:rPr>
        <w:t>464</w:t>
      </w:r>
      <w:r w:rsidR="000E1E69">
        <w:rPr>
          <w:color w:val="000000"/>
          <w:sz w:val="24"/>
          <w:szCs w:val="24"/>
        </w:rPr>
        <w:t>.</w:t>
      </w:r>
      <w:r w:rsidR="00BC6C68">
        <w:rPr>
          <w:color w:val="000000"/>
          <w:sz w:val="24"/>
          <w:szCs w:val="24"/>
        </w:rPr>
        <w:t>3</w:t>
      </w:r>
      <w:r w:rsidR="000E1E69">
        <w:rPr>
          <w:color w:val="000000"/>
          <w:sz w:val="24"/>
          <w:szCs w:val="24"/>
        </w:rPr>
        <w:t>56</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1.535</w:t>
      </w:r>
      <w:r>
        <w:rPr>
          <w:color w:val="000000"/>
          <w:sz w:val="24"/>
          <w:szCs w:val="24"/>
        </w:rPr>
        <w:t>.</w:t>
      </w:r>
      <w:r w:rsidR="00F07410">
        <w:rPr>
          <w:color w:val="000000"/>
          <w:sz w:val="24"/>
          <w:szCs w:val="24"/>
        </w:rPr>
        <w:t>223</w:t>
      </w:r>
      <w:r w:rsidRPr="001E538C">
        <w:rPr>
          <w:color w:val="000000"/>
          <w:sz w:val="24"/>
          <w:szCs w:val="24"/>
        </w:rPr>
        <w:t>,</w:t>
      </w:r>
      <w:r>
        <w:rPr>
          <w:color w:val="000000"/>
          <w:sz w:val="24"/>
          <w:szCs w:val="24"/>
        </w:rPr>
        <w:t>00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1.861.814,00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BC6C68">
        <w:rPr>
          <w:sz w:val="24"/>
          <w:szCs w:val="24"/>
        </w:rPr>
        <w:t>33</w:t>
      </w:r>
      <w:r w:rsidR="000E1E69">
        <w:rPr>
          <w:sz w:val="24"/>
          <w:szCs w:val="24"/>
        </w:rPr>
        <w:t>.</w:t>
      </w:r>
      <w:r w:rsidR="00BC6C68">
        <w:rPr>
          <w:sz w:val="24"/>
          <w:szCs w:val="24"/>
        </w:rPr>
        <w:t>602</w:t>
      </w:r>
      <w:r w:rsidR="000E1E69">
        <w:rPr>
          <w:sz w:val="24"/>
          <w:szCs w:val="24"/>
        </w:rPr>
        <w:t>.</w:t>
      </w:r>
      <w:r w:rsidR="00BC6C68">
        <w:rPr>
          <w:sz w:val="24"/>
          <w:szCs w:val="24"/>
        </w:rPr>
        <w:t>606</w:t>
      </w:r>
      <w:r w:rsidR="000E1E69">
        <w:rPr>
          <w:sz w:val="24"/>
          <w:szCs w:val="24"/>
        </w:rPr>
        <w:t>,</w:t>
      </w:r>
      <w:r w:rsidR="00BC6C68">
        <w:rPr>
          <w:sz w:val="24"/>
          <w:szCs w:val="24"/>
        </w:rPr>
        <w:t>76</w:t>
      </w:r>
    </w:p>
    <w:p w:rsidR="009A59C2" w:rsidRDefault="009A59C2" w:rsidP="00711F3D">
      <w:pPr>
        <w:tabs>
          <w:tab w:val="left" w:pos="2835"/>
          <w:tab w:val="decimal" w:pos="4678"/>
          <w:tab w:val="decimal" w:pos="4962"/>
        </w:tabs>
        <w:spacing w:after="0" w:line="240" w:lineRule="auto"/>
        <w:jc w:val="both"/>
        <w:rPr>
          <w:sz w:val="24"/>
          <w:szCs w:val="24"/>
        </w:rPr>
      </w:pPr>
    </w:p>
    <w:p w:rsidR="00711F3D" w:rsidRDefault="00711F3D" w:rsidP="00CF7A8D">
      <w:pPr>
        <w:spacing w:after="0" w:line="240" w:lineRule="auto"/>
        <w:jc w:val="both"/>
        <w:rPr>
          <w:sz w:val="24"/>
          <w:szCs w:val="24"/>
        </w:rPr>
      </w:pPr>
    </w:p>
    <w:p w:rsidR="0043692D" w:rsidRDefault="00EA5A3E" w:rsidP="00CF7A8D">
      <w:pPr>
        <w:spacing w:after="0" w:line="240" w:lineRule="auto"/>
        <w:jc w:val="both"/>
        <w:rPr>
          <w:sz w:val="24"/>
          <w:szCs w:val="24"/>
        </w:rPr>
      </w:pPr>
      <w:r w:rsidRPr="00EA5A3E">
        <w:rPr>
          <w:noProof/>
          <w:lang w:val="es-AR" w:eastAsia="es-AR"/>
        </w:rPr>
        <w:drawing>
          <wp:inline distT="0" distB="0" distL="0" distR="0">
            <wp:extent cx="5940425" cy="314441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144419"/>
                    </a:xfrm>
                    <a:prstGeom prst="rect">
                      <a:avLst/>
                    </a:prstGeom>
                    <a:noFill/>
                    <a:ln>
                      <a:noFill/>
                    </a:ln>
                  </pic:spPr>
                </pic:pic>
              </a:graphicData>
            </a:graphic>
          </wp:inline>
        </w:drawing>
      </w: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711F3D" w:rsidRDefault="00EA5A3E" w:rsidP="00711F3D">
      <w:pPr>
        <w:spacing w:after="0" w:line="240" w:lineRule="auto"/>
        <w:ind w:left="360"/>
        <w:jc w:val="both"/>
        <w:rPr>
          <w:sz w:val="24"/>
          <w:szCs w:val="24"/>
        </w:rPr>
      </w:pPr>
      <w:r>
        <w:rPr>
          <w:sz w:val="24"/>
          <w:szCs w:val="24"/>
        </w:rPr>
        <w:lastRenderedPageBreak/>
        <w:t>Se pidió la liberación</w:t>
      </w:r>
      <w:r w:rsidR="00711F3D">
        <w:rPr>
          <w:sz w:val="24"/>
          <w:szCs w:val="24"/>
        </w:rPr>
        <w:t xml:space="preserve"> </w:t>
      </w:r>
      <w:r>
        <w:rPr>
          <w:sz w:val="24"/>
          <w:szCs w:val="24"/>
        </w:rPr>
        <w:t xml:space="preserve">de reservas </w:t>
      </w:r>
      <w:r w:rsidR="0043692D">
        <w:rPr>
          <w:sz w:val="24"/>
          <w:szCs w:val="24"/>
        </w:rPr>
        <w:t>de las partidas</w:t>
      </w:r>
      <w:r>
        <w:rPr>
          <w:sz w:val="24"/>
          <w:szCs w:val="24"/>
        </w:rPr>
        <w:t>,</w:t>
      </w:r>
      <w:r w:rsidR="0043692D">
        <w:rPr>
          <w:sz w:val="24"/>
          <w:szCs w:val="24"/>
        </w:rPr>
        <w:t xml:space="preserve"> en</w:t>
      </w:r>
      <w:r w:rsidR="00711F3D">
        <w:rPr>
          <w:sz w:val="24"/>
          <w:szCs w:val="24"/>
        </w:rPr>
        <w:t xml:space="preserve"> Servicios Corrientes 41301</w:t>
      </w:r>
      <w:r w:rsidR="0043692D">
        <w:rPr>
          <w:sz w:val="24"/>
          <w:szCs w:val="24"/>
        </w:rPr>
        <w:t xml:space="preserve"> y </w:t>
      </w:r>
      <w:r w:rsidR="00711F3D">
        <w:rPr>
          <w:sz w:val="24"/>
          <w:szCs w:val="24"/>
        </w:rPr>
        <w:t>Convenio 41302,  que realizó el Ministe</w:t>
      </w:r>
      <w:r>
        <w:rPr>
          <w:sz w:val="24"/>
          <w:szCs w:val="24"/>
        </w:rPr>
        <w:t>rio de hacienda de la Provincia</w:t>
      </w:r>
      <w:r w:rsidR="0043692D">
        <w:rPr>
          <w:sz w:val="24"/>
          <w:szCs w:val="24"/>
        </w:rPr>
        <w:t>.</w:t>
      </w:r>
    </w:p>
    <w:p w:rsidR="00711F3D" w:rsidRDefault="00711F3D" w:rsidP="00711F3D">
      <w:pPr>
        <w:spacing w:after="0" w:line="240" w:lineRule="auto"/>
        <w:ind w:left="360"/>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w:t>
      </w:r>
      <w:bookmarkStart w:id="0" w:name="_GoBack"/>
      <w:bookmarkEnd w:id="0"/>
      <w:r>
        <w:rPr>
          <w:sz w:val="24"/>
          <w:szCs w:val="24"/>
        </w:rPr>
        <w:t>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706703">
        <w:t xml:space="preserve">2230/21 </w:t>
      </w:r>
      <w:r w:rsidR="0043692D">
        <w:t>prórroga del</w:t>
      </w:r>
      <w:r w:rsidR="00706703">
        <w:t xml:space="preserve"> </w:t>
      </w:r>
      <w:r w:rsidR="0043692D">
        <w:t xml:space="preserve">mes de enero a marzo, </w:t>
      </w:r>
      <w:r w:rsidR="00706703">
        <w:t xml:space="preserve">Decreto 310/22 </w:t>
      </w:r>
      <w:r w:rsidR="0043692D">
        <w:rPr>
          <w:sz w:val="24"/>
          <w:szCs w:val="24"/>
        </w:rPr>
        <w:t>pró</w:t>
      </w:r>
      <w:r>
        <w:rPr>
          <w:sz w:val="24"/>
          <w:szCs w:val="24"/>
        </w:rPr>
        <w:t xml:space="preserve">rroga </w:t>
      </w:r>
      <w:r w:rsidR="0043692D">
        <w:rPr>
          <w:sz w:val="24"/>
          <w:szCs w:val="24"/>
        </w:rPr>
        <w:t>d</w:t>
      </w:r>
      <w:r>
        <w:rPr>
          <w:sz w:val="24"/>
          <w:szCs w:val="24"/>
        </w:rPr>
        <w:t xml:space="preserve">el mes de </w:t>
      </w:r>
      <w:r w:rsidR="00217B2B">
        <w:rPr>
          <w:sz w:val="24"/>
          <w:szCs w:val="24"/>
        </w:rPr>
        <w:t>abril</w:t>
      </w:r>
      <w:r w:rsidR="00706703">
        <w:rPr>
          <w:sz w:val="24"/>
          <w:szCs w:val="24"/>
        </w:rPr>
        <w:t xml:space="preserve"> a </w:t>
      </w:r>
      <w:r w:rsidR="00217B2B">
        <w:rPr>
          <w:sz w:val="24"/>
          <w:szCs w:val="24"/>
        </w:rPr>
        <w:t>junio</w:t>
      </w:r>
      <w:r>
        <w:t xml:space="preserve"> </w:t>
      </w:r>
      <w:r w:rsidR="0043692D">
        <w:t xml:space="preserve">y Decreto 1060/22 prórroga de julio a diciembre </w:t>
      </w:r>
      <w:r>
        <w:t>de 202</w:t>
      </w:r>
      <w:r w:rsidR="00706703">
        <w:t>2</w:t>
      </w:r>
      <w:r w:rsidR="0043692D">
        <w:t>.</w:t>
      </w:r>
      <w:r w:rsidR="00217B2B">
        <w:t xml:space="preserve"> Decreto</w:t>
      </w:r>
      <w:r w:rsidR="0043692D">
        <w:t>s por</w:t>
      </w:r>
      <w:r w:rsidR="00217B2B">
        <w:t xml:space="preserve"> Incremento 394/22</w:t>
      </w:r>
      <w:r w:rsidR="00BE7127">
        <w:t xml:space="preserve">, </w:t>
      </w:r>
      <w:r w:rsidR="0043692D">
        <w:t>1538/22</w:t>
      </w:r>
      <w:r w:rsidR="00BE7127">
        <w:t xml:space="preserve"> Y 2259/22</w:t>
      </w:r>
      <w:r w:rsidR="00217B2B">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706703">
        <w:rPr>
          <w:sz w:val="24"/>
          <w:szCs w:val="24"/>
        </w:rPr>
        <w:t>35</w:t>
      </w:r>
      <w:r>
        <w:rPr>
          <w:sz w:val="24"/>
          <w:szCs w:val="24"/>
        </w:rPr>
        <w:t>/202</w:t>
      </w:r>
      <w:r w:rsidR="00706703">
        <w:rPr>
          <w:sz w:val="24"/>
          <w:szCs w:val="24"/>
        </w:rPr>
        <w:t>2</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35</w:t>
      </w:r>
      <w:r>
        <w:rPr>
          <w:sz w:val="24"/>
          <w:szCs w:val="24"/>
        </w:rPr>
        <w:t>/202</w:t>
      </w:r>
      <w:r w:rsidR="00706703">
        <w:rPr>
          <w:sz w:val="24"/>
          <w:szCs w:val="24"/>
        </w:rPr>
        <w:t>2</w:t>
      </w:r>
      <w:r>
        <w:rPr>
          <w:sz w:val="24"/>
          <w:szCs w:val="24"/>
        </w:rPr>
        <w:t xml:space="preserve">.En relación con las partidas de Bienes de Capital, </w:t>
      </w:r>
      <w:r w:rsidR="00617364">
        <w:rPr>
          <w:sz w:val="24"/>
          <w:szCs w:val="24"/>
        </w:rPr>
        <w:t>s</w:t>
      </w:r>
      <w:r>
        <w:rPr>
          <w:sz w:val="24"/>
          <w:szCs w:val="24"/>
        </w:rPr>
        <w:t xml:space="preserve">e </w:t>
      </w:r>
      <w:r w:rsidR="00617364">
        <w:rPr>
          <w:sz w:val="24"/>
          <w:szCs w:val="24"/>
        </w:rPr>
        <w:t xml:space="preserve">transfirió la suma de novecientos mil </w:t>
      </w:r>
      <w:r>
        <w:rPr>
          <w:sz w:val="24"/>
          <w:szCs w:val="24"/>
        </w:rPr>
        <w:t>al Ministerio de seguridad</w:t>
      </w:r>
      <w:r w:rsidR="00A82F76">
        <w:rPr>
          <w:sz w:val="24"/>
          <w:szCs w:val="24"/>
        </w:rPr>
        <w:t xml:space="preserve"> Resolución 4101-S-22</w:t>
      </w:r>
      <w:r>
        <w:rPr>
          <w:sz w:val="24"/>
          <w:szCs w:val="24"/>
        </w:rPr>
        <w:t>.-</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993D03">
        <w:rPr>
          <w:sz w:val="24"/>
          <w:szCs w:val="24"/>
        </w:rPr>
        <w:t>0</w:t>
      </w:r>
      <w:r w:rsidR="00A82F76">
        <w:rPr>
          <w:sz w:val="24"/>
          <w:szCs w:val="24"/>
        </w:rPr>
        <w:t>6</w:t>
      </w:r>
      <w:r w:rsidRPr="006C253A">
        <w:rPr>
          <w:sz w:val="24"/>
          <w:szCs w:val="24"/>
        </w:rPr>
        <w:t xml:space="preserve"> de </w:t>
      </w:r>
      <w:r w:rsidR="00A82F76">
        <w:rPr>
          <w:sz w:val="24"/>
          <w:szCs w:val="24"/>
        </w:rPr>
        <w:t>febrero</w:t>
      </w:r>
      <w:r w:rsidR="00217B2B">
        <w:rPr>
          <w:sz w:val="24"/>
          <w:szCs w:val="24"/>
        </w:rPr>
        <w:t xml:space="preserve"> </w:t>
      </w:r>
      <w:r w:rsidR="00C46115">
        <w:rPr>
          <w:sz w:val="24"/>
          <w:szCs w:val="24"/>
        </w:rPr>
        <w:t>d</w:t>
      </w:r>
      <w:r>
        <w:rPr>
          <w:sz w:val="24"/>
          <w:szCs w:val="24"/>
        </w:rPr>
        <w:t>e 202</w:t>
      </w:r>
      <w:r w:rsidR="00A82F76">
        <w:rPr>
          <w:sz w:val="24"/>
          <w:szCs w:val="24"/>
        </w:rPr>
        <w:t>3</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CF7A8D">
      <w:pgSz w:w="11906" w:h="16838"/>
      <w:pgMar w:top="1276" w:right="1133"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93186"/>
    <w:rsid w:val="000A098A"/>
    <w:rsid w:val="000D527D"/>
    <w:rsid w:val="000E1CC2"/>
    <w:rsid w:val="000E1E69"/>
    <w:rsid w:val="000E4335"/>
    <w:rsid w:val="000F128E"/>
    <w:rsid w:val="000F7EFB"/>
    <w:rsid w:val="00105487"/>
    <w:rsid w:val="00111BF9"/>
    <w:rsid w:val="00113762"/>
    <w:rsid w:val="00114615"/>
    <w:rsid w:val="00126560"/>
    <w:rsid w:val="00136165"/>
    <w:rsid w:val="001565E4"/>
    <w:rsid w:val="00163CCD"/>
    <w:rsid w:val="001703BA"/>
    <w:rsid w:val="00195D1D"/>
    <w:rsid w:val="00195DDF"/>
    <w:rsid w:val="001A182B"/>
    <w:rsid w:val="001B0645"/>
    <w:rsid w:val="001C0F01"/>
    <w:rsid w:val="001D270C"/>
    <w:rsid w:val="001D48CD"/>
    <w:rsid w:val="001D572A"/>
    <w:rsid w:val="001F1BC9"/>
    <w:rsid w:val="001F489A"/>
    <w:rsid w:val="00210512"/>
    <w:rsid w:val="00212DF3"/>
    <w:rsid w:val="002163ED"/>
    <w:rsid w:val="00217B2B"/>
    <w:rsid w:val="00221A64"/>
    <w:rsid w:val="00227D02"/>
    <w:rsid w:val="00232D6B"/>
    <w:rsid w:val="00244F94"/>
    <w:rsid w:val="00251625"/>
    <w:rsid w:val="00251BA4"/>
    <w:rsid w:val="00257154"/>
    <w:rsid w:val="002602D1"/>
    <w:rsid w:val="002B560F"/>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36B9C"/>
    <w:rsid w:val="00A4606B"/>
    <w:rsid w:val="00A50B6B"/>
    <w:rsid w:val="00A533AA"/>
    <w:rsid w:val="00A67A69"/>
    <w:rsid w:val="00A800CA"/>
    <w:rsid w:val="00A8208D"/>
    <w:rsid w:val="00A82F76"/>
    <w:rsid w:val="00A914D1"/>
    <w:rsid w:val="00AD6AF8"/>
    <w:rsid w:val="00AE4D37"/>
    <w:rsid w:val="00AF0442"/>
    <w:rsid w:val="00B044BA"/>
    <w:rsid w:val="00B16761"/>
    <w:rsid w:val="00B23A5F"/>
    <w:rsid w:val="00B37A8F"/>
    <w:rsid w:val="00B42448"/>
    <w:rsid w:val="00B651B8"/>
    <w:rsid w:val="00B80919"/>
    <w:rsid w:val="00B84478"/>
    <w:rsid w:val="00B90B06"/>
    <w:rsid w:val="00BB68D1"/>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D4F7C"/>
    <w:rsid w:val="00EE4644"/>
    <w:rsid w:val="00EF281A"/>
    <w:rsid w:val="00EF3264"/>
    <w:rsid w:val="00EF4C19"/>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23AA-EE0A-42AA-B938-796261A6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418</Words>
  <Characters>2301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17</cp:revision>
  <cp:lastPrinted>2023-02-06T15:09:00Z</cp:lastPrinted>
  <dcterms:created xsi:type="dcterms:W3CDTF">2022-08-17T15:24:00Z</dcterms:created>
  <dcterms:modified xsi:type="dcterms:W3CDTF">2023-02-06T15:51:00Z</dcterms:modified>
</cp:coreProperties>
</file>