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b/>
          <w:lang w:val="es-MX"/>
        </w:rPr>
      </w:pPr>
    </w:p>
    <w:p>
      <w:pPr>
        <w:jc w:val="center"/>
        <w:rPr>
          <w:b/>
          <w:lang w:val="es-MX"/>
        </w:rPr>
      </w:pPr>
      <w:r>
        <w:rPr>
          <w:b/>
          <w:lang w:val="es-MX"/>
        </w:rPr>
        <w:t>ACUERDO N° 3949</w:t>
      </w:r>
    </w:p>
    <w:p>
      <w:pPr>
        <w:jc w:val="center"/>
        <w:rPr>
          <w:b/>
          <w:lang w:val="es-MX"/>
        </w:rPr>
      </w:pPr>
      <w:r>
        <w:rPr>
          <w:b/>
          <w:lang w:val="es-MX"/>
        </w:rPr>
        <w:t>ANEXO 30: ART. 5 Inc c)</w:t>
      </w:r>
    </w:p>
    <w:p>
      <w:pPr>
        <w:jc w:val="center"/>
        <w:rPr>
          <w:b/>
          <w:lang w:val="es-MX"/>
        </w:rPr>
      </w:pPr>
      <w:r>
        <w:rPr>
          <w:i/>
          <w:iCs/>
        </w:rPr>
        <w:t>Causas de los incumplimientos de las metas, en caso de existir.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both"/>
        <w:rPr>
          <w:b/>
          <w:lang w:val="es-MX"/>
        </w:rPr>
      </w:pPr>
      <w:r>
        <w:rPr>
          <w:b/>
          <w:lang w:val="es-MX"/>
        </w:rPr>
        <w:t>Repartición/Organismo:   Ministerio Público Fiscal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both"/>
        <w:rPr>
          <w:b/>
          <w:lang w:val="es-MX"/>
        </w:rPr>
      </w:pPr>
      <w:r>
        <w:rPr>
          <w:b/>
          <w:lang w:val="es-MX"/>
        </w:rPr>
        <w:t>Nomenclador:    Carácter 01, Jurisdicción 02, UO 02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both"/>
        <w:rPr>
          <w:b/>
          <w:lang w:val="es-AR"/>
        </w:rPr>
      </w:pPr>
      <w:r>
        <w:rPr>
          <w:b/>
          <w:lang w:val="es-MX"/>
        </w:rPr>
        <w:t>Ejercicio:   2.0</w:t>
      </w:r>
      <w:r>
        <w:rPr>
          <w:b/>
          <w:lang w:val="es-AR"/>
        </w:rPr>
        <w:t>22</w:t>
      </w:r>
      <w:r>
        <w:rPr>
          <w:b/>
          <w:lang w:val="es-MX"/>
        </w:rPr>
        <w:t xml:space="preserve">                                                 </w:t>
      </w:r>
      <w:r>
        <w:rPr>
          <w:b/>
          <w:lang w:val="es-AR"/>
        </w:rPr>
        <w:t xml:space="preserve"> </w:t>
      </w:r>
      <w:r>
        <w:rPr>
          <w:b/>
          <w:lang w:val="es-MX"/>
        </w:rPr>
        <w:t xml:space="preserve">   Trimestre: </w:t>
      </w:r>
      <w:r>
        <w:rPr>
          <w:b/>
          <w:lang w:val="es-AR"/>
        </w:rPr>
        <w:t>SEGUNDO</w:t>
      </w:r>
    </w:p>
    <w:p>
      <w:pPr>
        <w:tabs>
          <w:tab w:val="left" w:pos="4680"/>
        </w:tabs>
        <w:spacing w:line="360" w:lineRule="auto"/>
        <w:ind w:left="720"/>
        <w:jc w:val="both"/>
        <w:rPr>
          <w:b/>
          <w:bCs/>
        </w:rPr>
      </w:pPr>
      <w:r>
        <w:rPr>
          <w:lang w:val="es-MX"/>
        </w:rPr>
        <w:t>“</w:t>
      </w:r>
      <w:r>
        <w:rPr>
          <w:b/>
          <w:bCs/>
        </w:rPr>
        <w:t>Información Artículo 27 Ley 7.314 y 5° inc c) Acuerdo 3949 y su modifc. 4.559”.</w:t>
      </w:r>
    </w:p>
    <w:p>
      <w:pPr>
        <w:tabs>
          <w:tab w:val="left" w:pos="4680"/>
        </w:tabs>
        <w:spacing w:line="360" w:lineRule="auto"/>
        <w:ind w:left="720"/>
        <w:jc w:val="both"/>
      </w:pPr>
      <w:r>
        <w:rPr>
          <w:lang w:val="es-MX"/>
        </w:rPr>
        <w:t xml:space="preserve">RECURSOS CORRIENTES: </w:t>
      </w:r>
    </w:p>
    <w:p>
      <w:pPr>
        <w:tabs>
          <w:tab w:val="left" w:pos="4680"/>
        </w:tabs>
        <w:spacing w:line="360" w:lineRule="auto"/>
        <w:ind w:left="720"/>
        <w:jc w:val="both"/>
        <w:rPr>
          <w:lang w:val="es-AR"/>
        </w:rPr>
      </w:pPr>
      <w:r>
        <w:rPr>
          <w:lang w:val="es-AR"/>
        </w:rPr>
        <w:t>Los recursos corrientes, dada una recuperación estable de las actividades ha generado una recaudación que se aproxima a un 11,6% mayor que lo programado, sin embargo, resulta inferior al crecimiento del trimestre anterior. La mayor recaudación, proviene de la tasa de justicia.</w:t>
      </w:r>
    </w:p>
    <w:p>
      <w:pPr>
        <w:tabs>
          <w:tab w:val="left" w:pos="4680"/>
        </w:tabs>
        <w:spacing w:line="360" w:lineRule="auto"/>
        <w:ind w:left="720"/>
        <w:jc w:val="both"/>
        <w:rPr>
          <w:lang w:val="es-AR"/>
        </w:rPr>
      </w:pPr>
      <w:r>
        <w:rPr>
          <w:lang w:val="es-MX"/>
        </w:rPr>
        <w:t>GASTOS CORRIENTES</w:t>
      </w:r>
      <w:r>
        <w:rPr>
          <w:lang w:val="es-AR"/>
        </w:rPr>
        <w:t xml:space="preserve"> </w:t>
      </w:r>
    </w:p>
    <w:p>
      <w:pPr>
        <w:tabs>
          <w:tab w:val="left" w:pos="4680"/>
        </w:tabs>
        <w:spacing w:line="360" w:lineRule="auto"/>
        <w:ind w:left="720"/>
        <w:jc w:val="both"/>
        <w:rPr>
          <w:lang w:val="es-AR"/>
        </w:rPr>
      </w:pPr>
      <w:r>
        <w:rPr>
          <w:lang w:val="es-AR"/>
        </w:rPr>
        <w:t>Los gastos corrientes, superan casi en un 46% lo programado, debido fundamentalmente a los aumentos de los insumos y la previsión de los proveedores. El porcentaje es concordante con el indice inflacionario para el período, que arroja un Nivel General del IPC, que aumentó en un 5,3% para el mes de junio y acumuló para el primer semestre 2022 un 36,2%.-</w:t>
      </w:r>
    </w:p>
    <w:p>
      <w:pPr>
        <w:tabs>
          <w:tab w:val="left" w:pos="4680"/>
        </w:tabs>
        <w:spacing w:line="360" w:lineRule="auto"/>
        <w:ind w:left="720"/>
        <w:jc w:val="both"/>
        <w:rPr>
          <w:lang w:val="es-AR"/>
        </w:rPr>
      </w:pPr>
      <w:r>
        <w:rPr>
          <w:lang w:val="es-AR"/>
        </w:rPr>
        <w:t>No obstante, se ha buscado cubrir los gastos corriente con la mayor recaudación lograda, conforme lo dicho en el apartado anterior.</w:t>
      </w:r>
    </w:p>
    <w:p>
      <w:pPr>
        <w:tabs>
          <w:tab w:val="left" w:pos="4680"/>
        </w:tabs>
        <w:spacing w:line="360" w:lineRule="auto"/>
        <w:ind w:left="720"/>
        <w:jc w:val="both"/>
        <w:rPr>
          <w:lang w:val="es-AR"/>
        </w:rPr>
      </w:pPr>
      <w:r>
        <w:rPr>
          <w:lang w:val="es-AR"/>
        </w:rPr>
        <w:t>GASTOS DE CAPITAL</w:t>
      </w:r>
    </w:p>
    <w:p>
      <w:pPr>
        <w:tabs>
          <w:tab w:val="left" w:pos="4680"/>
        </w:tabs>
        <w:spacing w:line="360" w:lineRule="auto"/>
        <w:ind w:left="714" w:leftChars="305" w:firstLine="3" w:firstLineChars="0"/>
        <w:jc w:val="both"/>
        <w:rPr>
          <w:lang w:val="es-AR"/>
        </w:rPr>
      </w:pPr>
      <w:r>
        <w:rPr>
          <w:lang w:val="es-AR"/>
        </w:rPr>
        <w:t>Los gastos de capital en el trimestre, continúan en tendencia de superar la programación, siguiéndose la tendencia en el criterio del Primer trimestre. Voluntariamente se buscó acelerar/ adelantar las compras; esto es, debido a las consecuencias del proceso inflacionario y en tanto que los bienes responden en su mayoria a los insumos mas costosos del Cuerpo Médico Forense, los cuales son importados y en muchos casos no se encuentran en stock por las complicaciones en la importación de los mismos.</w:t>
      </w:r>
    </w:p>
    <w:p>
      <w:pPr>
        <w:tabs>
          <w:tab w:val="left" w:pos="4680"/>
        </w:tabs>
        <w:spacing w:line="360" w:lineRule="auto"/>
        <w:ind w:left="714" w:leftChars="305" w:firstLine="3" w:firstLineChars="0"/>
        <w:jc w:val="both"/>
        <w:rPr>
          <w:lang w:val="es-AR"/>
        </w:rPr>
      </w:pPr>
      <w:r>
        <w:rPr>
          <w:lang w:val="es-AR"/>
        </w:rPr>
        <w:t>Se ha dado prioridad también a la compra de elementos indispensables para la adecuada administración y servicio de justicia, tales como Instrumentos de reconocimiento facial para la identificación criminal; y sistemas firewall, y antivirus.</w:t>
      </w:r>
    </w:p>
    <w:p>
      <w:pPr>
        <w:tabs>
          <w:tab w:val="left" w:pos="4680"/>
        </w:tabs>
        <w:spacing w:line="360" w:lineRule="auto"/>
        <w:ind w:left="714" w:leftChars="305" w:firstLine="3" w:firstLineChars="0"/>
        <w:jc w:val="both"/>
        <w:rPr>
          <w:lang w:val="es-AR"/>
        </w:rPr>
      </w:pPr>
      <w:r>
        <w:rPr>
          <w:lang w:val="es-AR"/>
        </w:rPr>
        <w:t>Dada la limitación por parte del Gobierno, para acceder al dólar oficial en ciertas actividades, los proveedores deben trasladar el costo de un dólar mep a la cotización oficial, con lo cual se incrementa el costo de las compras.</w:t>
      </w:r>
    </w:p>
    <w:p>
      <w:pPr>
        <w:tabs>
          <w:tab w:val="left" w:pos="4680"/>
        </w:tabs>
        <w:spacing w:line="360" w:lineRule="auto"/>
        <w:ind w:left="714" w:leftChars="305" w:firstLine="3" w:firstLineChars="0"/>
        <w:jc w:val="both"/>
        <w:rPr>
          <w:lang w:val="es-AR"/>
        </w:rPr>
      </w:pPr>
      <w:r>
        <w:rPr>
          <w:lang w:val="es-AR"/>
        </w:rPr>
        <w:t>Se continua con la problemática del trimestre anterior y más profundizada.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jc w:val="left"/>
        <w:textAlignment w:val="auto"/>
        <w:outlineLvl w:val="9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SERVICIO ADMINISTRATIVO FINANCIERO –MIN. PUBLICO FISCAL-</w:t>
      </w:r>
      <w:bookmarkStart w:id="0" w:name="_GoBack"/>
      <w:bookmarkEnd w:id="0"/>
    </w:p>
    <w:p>
      <w:pPr>
        <w:spacing w:line="276" w:lineRule="auto"/>
        <w:jc w:val="both"/>
        <w:rPr>
          <w:lang w:val="es-AR"/>
        </w:rPr>
      </w:pPr>
      <w:r>
        <w:rPr>
          <w:rFonts w:ascii="Arial" w:hAnsi="Arial" w:cs="Arial"/>
          <w:b/>
          <w:bCs/>
          <w:sz w:val="16"/>
          <w:szCs w:val="16"/>
        </w:rPr>
        <w:t xml:space="preserve">Mendoza, </w:t>
      </w:r>
      <w:r>
        <w:rPr>
          <w:rFonts w:ascii="Arial" w:hAnsi="Arial" w:cs="Arial"/>
          <w:b/>
          <w:bCs/>
          <w:sz w:val="16"/>
          <w:szCs w:val="16"/>
          <w:lang w:val="es-AR"/>
        </w:rPr>
        <w:t>agosto 2022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7" w:h="16839"/>
      <w:pgMar w:top="1418" w:right="1701" w:bottom="1418" w:left="1701" w:header="567" w:footer="567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40" w:line="100" w:lineRule="exact"/>
      <w:rPr>
        <w:sz w:val="10"/>
        <w:szCs w:val="10"/>
      </w:rPr>
    </w:pPr>
  </w:p>
  <w:p>
    <w:pPr>
      <w:tabs>
        <w:tab w:val="right" w:pos="9069"/>
      </w:tabs>
      <w:suppressAutoHyphens/>
      <w:spacing w:line="312" w:lineRule="atLeast"/>
      <w:jc w:val="both"/>
      <w:rPr>
        <w:u w:val="double"/>
      </w:rPr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left" w:pos="-720"/>
        <w:tab w:val="clear" w:pos="4419"/>
        <w:tab w:val="clear" w:pos="8838"/>
      </w:tabs>
      <w:suppressAutoHyphens/>
      <w:spacing w:line="240" w:lineRule="auto"/>
    </w:pPr>
    <w:r>
      <w:rPr>
        <w:lang w:val="es-AR" w:eastAsia="es-AR"/>
      </w:rPr>
      <w:drawing>
        <wp:inline distT="0" distB="0" distL="0" distR="0">
          <wp:extent cx="1485900" cy="1009650"/>
          <wp:effectExtent l="0" t="0" r="0" b="0"/>
          <wp:docPr id="3" name="Imagen 3" descr="C:\Users\mcanosa\Pictures\m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 descr="C:\Users\mcanosa\Pictures\mp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8590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inline>
      </w:drawing>
    </w:r>
    <w:r>
      <w:rPr>
        <w:lang w:val="es-AR" w:eastAsia="es-AR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margin">
                <wp:posOffset>2171700</wp:posOffset>
              </wp:positionH>
              <wp:positionV relativeFrom="paragraph">
                <wp:posOffset>-45720</wp:posOffset>
              </wp:positionV>
              <wp:extent cx="1030605" cy="914400"/>
              <wp:effectExtent l="0" t="1905" r="0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30605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uppressAutoHyphens/>
                          </w:pPr>
                        </w:p>
                        <w:p>
                          <w:pPr>
                            <w:suppressAutoHyphens/>
                            <w:rPr>
                              <w:sz w:val="2"/>
                              <w:szCs w:val="2"/>
                            </w:rPr>
                          </w:pPr>
                        </w:p>
                        <w:p>
                          <w:pPr>
                            <w:suppressAutoHyphens/>
                            <w:rPr>
                              <w:sz w:val="2"/>
                              <w:szCs w:val="2"/>
                            </w:rPr>
                          </w:pPr>
                        </w:p>
                        <w:p>
                          <w:pPr>
                            <w:suppressAutoHyphens/>
                            <w:rPr>
                              <w:sz w:val="2"/>
                              <w:szCs w:val="2"/>
                            </w:rPr>
                          </w:pPr>
                        </w:p>
                        <w:p>
                          <w:pPr>
                            <w:suppressAutoHyphens/>
                            <w:rPr>
                              <w:sz w:val="2"/>
                              <w:szCs w:val="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171pt;margin-top:-3.6pt;height:72pt;width:81.15pt;mso-position-horizontal-relative:margin;z-index:-251658240;mso-width-relative:page;mso-height-relative:page;" filled="f" stroked="f" coordsize="21600,21600" o:gfxdata="UEsDBAoAAAAAAIdO4kAAAAAAAAAAAAAAAAAEAAAAZHJzL1BLAwQUAAAACACHTuJAOIm6M9sAAAAK&#10;AQAADwAAAGRycy9kb3ducmV2LnhtbE2Py07DMBBF90j8gzVI7FqnSSlpiFMhHipLaJEKOzcekgh7&#10;HMVuU/h6hhUsR3N077nl6uSsOOIQOk8KZtMEBFLtTUeNgtft4yQHEaImo60nVPCFAVbV+VmpC+NH&#10;esHjJjaCQygUWkEbY19IGeoWnQ5T3yPx78MPTkc+h0aaQY8c7qxMk2Qhne6IG1rd412L9efm4BSs&#10;8/727cl/j419eF/vnnfL++0yKnV5MUtuQEQ8xT8YfvVZHSp22vsDmSCsgmye8paoYHKdgmDgKpln&#10;IPZMZoscZFXK/xOqH1BLAwQUAAAACACHTuJAYcJaaNwBAACtAwAADgAAAGRycy9lMm9Eb2MueG1s&#10;rVPBbtQwEL0j8Q+W72ySUiqINltVrYqQClQt/QDHsTcWsceMvZssX8/Y2SyU3hAXazyeeXnvzWR9&#10;OdmB7RUGA67h1arkTDkJnXHbhj99u33znrMQhevEAE41/KACv9y8frUefa3OoIehU8gIxIV69A3v&#10;Y/R1UQTZKyvCCrxy9KgBrYh0xW3RoRgJ3Q7FWVleFCNg5xGkCoGyN/Mj32R8rZWMX7UOKrKh4cQt&#10;5hPz2aaz2KxFvUXheyOPNMQ/sLDCOProCepGRMF2aF5AWSMRAui4kmAL0NpIlTWQmqr8S81jL7zK&#10;Wsic4E82hf8HK7/s75GZjmbHmROWRvRApgm3HRSrkj2jDzVVPfp7TAKDvwP5PTAH1z1VqStEGHsl&#10;OiKV64tnDekSqJW142foCF3sImSnJo02AZIHbMoDOZwGoqbIJCWr8m15Ub7jTNLbh+r8vMwTK0S9&#10;dHsM8aMCy1LQcCTuGV3s70Ik9lS6lKSPObg1w5CHPrhnCSpMmcw+EZ6Fx6mdjh600B1IB8K8Q7Tz&#10;FPSAPzkbaX8aHn7sBCrOhk+OvEjLtgS4BO0SCCepteGRszm8jvNS7jyabU/IVZbh4Ir80iZLSV7O&#10;LI48aSeywuP+pqX7856rfv9lm1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A4iboz2wAAAAoBAAAP&#10;AAAAAAAAAAEAIAAAACIAAABkcnMvZG93bnJldi54bWxQSwECFAAUAAAACACHTuJAYcJaaNwBAACt&#10;AwAADgAAAAAAAAABACAAAAAqAQAAZHJzL2Uyb0RvYy54bWxQSwUGAAAAAAYABgBZAQAAeA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uppressAutoHyphens/>
                    </w:pPr>
                  </w:p>
                  <w:p>
                    <w:pPr>
                      <w:suppressAutoHyphens/>
                      <w:rPr>
                        <w:sz w:val="2"/>
                        <w:szCs w:val="2"/>
                      </w:rPr>
                    </w:pPr>
                  </w:p>
                  <w:p>
                    <w:pPr>
                      <w:suppressAutoHyphens/>
                      <w:rPr>
                        <w:sz w:val="2"/>
                        <w:szCs w:val="2"/>
                      </w:rPr>
                    </w:pPr>
                  </w:p>
                  <w:p>
                    <w:pPr>
                      <w:suppressAutoHyphens/>
                      <w:rPr>
                        <w:sz w:val="2"/>
                        <w:szCs w:val="2"/>
                      </w:rPr>
                    </w:pPr>
                  </w:p>
                  <w:p>
                    <w:pPr>
                      <w:suppressAutoHyphens/>
                      <w:rPr>
                        <w:sz w:val="2"/>
                        <w:szCs w:val="2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3"/>
  <w:embedSystemFonts/>
  <w:mirrorMargins w:val="1"/>
  <w:bordersDoNotSurroundHeader w:val="0"/>
  <w:bordersDoNotSurroundFooter w:val="0"/>
  <w:documentProtection w:enforcement="0"/>
  <w:defaultTabStop w:val="708"/>
  <w:autoHyphenation/>
  <w:hyphenationZone w:val="425"/>
  <w:evenAndOddHeaders w:val="1"/>
  <w:drawingGridHorizontalSpacing w:val="237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D55884"/>
    <w:rsid w:val="00050A31"/>
    <w:rsid w:val="000623CE"/>
    <w:rsid w:val="000716D2"/>
    <w:rsid w:val="00071AAB"/>
    <w:rsid w:val="00087C17"/>
    <w:rsid w:val="000B76C4"/>
    <w:rsid w:val="000C5610"/>
    <w:rsid w:val="000E6552"/>
    <w:rsid w:val="000F3A4F"/>
    <w:rsid w:val="000F59AC"/>
    <w:rsid w:val="0010759B"/>
    <w:rsid w:val="00131A13"/>
    <w:rsid w:val="001364FE"/>
    <w:rsid w:val="001368DD"/>
    <w:rsid w:val="00137381"/>
    <w:rsid w:val="001440D3"/>
    <w:rsid w:val="00147DB3"/>
    <w:rsid w:val="00147F52"/>
    <w:rsid w:val="001507E7"/>
    <w:rsid w:val="001518A5"/>
    <w:rsid w:val="001520E1"/>
    <w:rsid w:val="00170095"/>
    <w:rsid w:val="00170E4F"/>
    <w:rsid w:val="001743F4"/>
    <w:rsid w:val="00182007"/>
    <w:rsid w:val="00187C33"/>
    <w:rsid w:val="001936B7"/>
    <w:rsid w:val="00196AB1"/>
    <w:rsid w:val="001A682B"/>
    <w:rsid w:val="00201333"/>
    <w:rsid w:val="0020726D"/>
    <w:rsid w:val="00210FA7"/>
    <w:rsid w:val="00216417"/>
    <w:rsid w:val="0026631D"/>
    <w:rsid w:val="002C2F53"/>
    <w:rsid w:val="002C3CAB"/>
    <w:rsid w:val="002C3FD3"/>
    <w:rsid w:val="002E0CA7"/>
    <w:rsid w:val="002E10F4"/>
    <w:rsid w:val="00306376"/>
    <w:rsid w:val="0031503B"/>
    <w:rsid w:val="0033518C"/>
    <w:rsid w:val="003437C2"/>
    <w:rsid w:val="00362644"/>
    <w:rsid w:val="0037122B"/>
    <w:rsid w:val="00377186"/>
    <w:rsid w:val="003A1C03"/>
    <w:rsid w:val="00414627"/>
    <w:rsid w:val="00425D63"/>
    <w:rsid w:val="004403E6"/>
    <w:rsid w:val="00444E15"/>
    <w:rsid w:val="004643D8"/>
    <w:rsid w:val="00466355"/>
    <w:rsid w:val="0049543A"/>
    <w:rsid w:val="00497C24"/>
    <w:rsid w:val="004B096B"/>
    <w:rsid w:val="004C43C6"/>
    <w:rsid w:val="004C7BA5"/>
    <w:rsid w:val="004E5B50"/>
    <w:rsid w:val="004E7628"/>
    <w:rsid w:val="004F48F2"/>
    <w:rsid w:val="005149B1"/>
    <w:rsid w:val="005647F2"/>
    <w:rsid w:val="005662D1"/>
    <w:rsid w:val="00573A09"/>
    <w:rsid w:val="00581299"/>
    <w:rsid w:val="005A4526"/>
    <w:rsid w:val="005C1B16"/>
    <w:rsid w:val="005C55F1"/>
    <w:rsid w:val="005E53D0"/>
    <w:rsid w:val="006002EB"/>
    <w:rsid w:val="006128EF"/>
    <w:rsid w:val="006264B4"/>
    <w:rsid w:val="00643033"/>
    <w:rsid w:val="00644CC3"/>
    <w:rsid w:val="00652E4C"/>
    <w:rsid w:val="00661468"/>
    <w:rsid w:val="006649F0"/>
    <w:rsid w:val="0067128F"/>
    <w:rsid w:val="0067245D"/>
    <w:rsid w:val="0068470E"/>
    <w:rsid w:val="00691CE3"/>
    <w:rsid w:val="00695DCD"/>
    <w:rsid w:val="006A05CC"/>
    <w:rsid w:val="006A35A7"/>
    <w:rsid w:val="006B3067"/>
    <w:rsid w:val="006B5451"/>
    <w:rsid w:val="007152D7"/>
    <w:rsid w:val="00732A28"/>
    <w:rsid w:val="00746C14"/>
    <w:rsid w:val="007666CF"/>
    <w:rsid w:val="007709CC"/>
    <w:rsid w:val="007C2C59"/>
    <w:rsid w:val="00801F23"/>
    <w:rsid w:val="00834843"/>
    <w:rsid w:val="00837632"/>
    <w:rsid w:val="0085640F"/>
    <w:rsid w:val="008567AA"/>
    <w:rsid w:val="00892712"/>
    <w:rsid w:val="008A680A"/>
    <w:rsid w:val="008B0BB0"/>
    <w:rsid w:val="008B35A7"/>
    <w:rsid w:val="008E6C4B"/>
    <w:rsid w:val="008F18C0"/>
    <w:rsid w:val="008F1F0F"/>
    <w:rsid w:val="008F4E35"/>
    <w:rsid w:val="00907648"/>
    <w:rsid w:val="00912FDD"/>
    <w:rsid w:val="00930FDE"/>
    <w:rsid w:val="00984C93"/>
    <w:rsid w:val="00987CE1"/>
    <w:rsid w:val="0099405C"/>
    <w:rsid w:val="009C16AF"/>
    <w:rsid w:val="009C600F"/>
    <w:rsid w:val="009D3723"/>
    <w:rsid w:val="009E00C1"/>
    <w:rsid w:val="009E04F2"/>
    <w:rsid w:val="00A03B7B"/>
    <w:rsid w:val="00A200C9"/>
    <w:rsid w:val="00A250D5"/>
    <w:rsid w:val="00A32F56"/>
    <w:rsid w:val="00A36028"/>
    <w:rsid w:val="00A91424"/>
    <w:rsid w:val="00A9613C"/>
    <w:rsid w:val="00AA2C77"/>
    <w:rsid w:val="00AC3FB9"/>
    <w:rsid w:val="00AC702A"/>
    <w:rsid w:val="00AD226F"/>
    <w:rsid w:val="00B021DA"/>
    <w:rsid w:val="00B13A52"/>
    <w:rsid w:val="00B222F8"/>
    <w:rsid w:val="00B24CF4"/>
    <w:rsid w:val="00B26993"/>
    <w:rsid w:val="00B4148F"/>
    <w:rsid w:val="00B4570C"/>
    <w:rsid w:val="00B5208C"/>
    <w:rsid w:val="00B635F2"/>
    <w:rsid w:val="00B74876"/>
    <w:rsid w:val="00B9047F"/>
    <w:rsid w:val="00BA1CC3"/>
    <w:rsid w:val="00BB7C2B"/>
    <w:rsid w:val="00BC1664"/>
    <w:rsid w:val="00BC2546"/>
    <w:rsid w:val="00BC43A4"/>
    <w:rsid w:val="00BC6A9F"/>
    <w:rsid w:val="00BD0E0C"/>
    <w:rsid w:val="00BF355C"/>
    <w:rsid w:val="00C05085"/>
    <w:rsid w:val="00C1593D"/>
    <w:rsid w:val="00C425C3"/>
    <w:rsid w:val="00C56C7E"/>
    <w:rsid w:val="00C776A4"/>
    <w:rsid w:val="00CA2C6C"/>
    <w:rsid w:val="00CC0600"/>
    <w:rsid w:val="00CC78AC"/>
    <w:rsid w:val="00CF7953"/>
    <w:rsid w:val="00D0073D"/>
    <w:rsid w:val="00D07232"/>
    <w:rsid w:val="00D10245"/>
    <w:rsid w:val="00D21BDD"/>
    <w:rsid w:val="00D315F3"/>
    <w:rsid w:val="00D657FD"/>
    <w:rsid w:val="00D65F07"/>
    <w:rsid w:val="00D92BB7"/>
    <w:rsid w:val="00DB4184"/>
    <w:rsid w:val="00DB711A"/>
    <w:rsid w:val="00DC76D2"/>
    <w:rsid w:val="00DC7E74"/>
    <w:rsid w:val="00DD30ED"/>
    <w:rsid w:val="00E04673"/>
    <w:rsid w:val="00E27643"/>
    <w:rsid w:val="00E6417F"/>
    <w:rsid w:val="00E64C21"/>
    <w:rsid w:val="00EC24C6"/>
    <w:rsid w:val="00EC6200"/>
    <w:rsid w:val="00EE6894"/>
    <w:rsid w:val="00EF2933"/>
    <w:rsid w:val="00F05146"/>
    <w:rsid w:val="00F1115D"/>
    <w:rsid w:val="00F324FE"/>
    <w:rsid w:val="00F3513C"/>
    <w:rsid w:val="00F465C5"/>
    <w:rsid w:val="00F5180D"/>
    <w:rsid w:val="00F51B21"/>
    <w:rsid w:val="00F51D87"/>
    <w:rsid w:val="00F64977"/>
    <w:rsid w:val="00F8455C"/>
    <w:rsid w:val="00F9306C"/>
    <w:rsid w:val="00FC4A43"/>
    <w:rsid w:val="00FE579E"/>
    <w:rsid w:val="00FF2AFE"/>
    <w:rsid w:val="0E0B3E3F"/>
    <w:rsid w:val="15241228"/>
    <w:rsid w:val="1CD55884"/>
    <w:rsid w:val="29244D7A"/>
    <w:rsid w:val="314322BD"/>
    <w:rsid w:val="36012FEE"/>
    <w:rsid w:val="3F4B729B"/>
    <w:rsid w:val="44112AD1"/>
    <w:rsid w:val="44455492"/>
    <w:rsid w:val="4B8512CE"/>
    <w:rsid w:val="50CA0558"/>
    <w:rsid w:val="52FE0B4E"/>
    <w:rsid w:val="5E902932"/>
    <w:rsid w:val="678B1ACA"/>
    <w:rsid w:val="6C753556"/>
    <w:rsid w:val="6E515940"/>
    <w:rsid w:val="74252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40" w:lineRule="atLeast"/>
      <w:jc w:val="center"/>
    </w:pPr>
    <w:rPr>
      <w:rFonts w:ascii="Times New Roman" w:hAnsi="Times New Roman" w:eastAsia="Times New Roman" w:cs="Times New Roman"/>
      <w:bCs/>
      <w:spacing w:val="-3"/>
      <w:sz w:val="24"/>
      <w:szCs w:val="24"/>
      <w:lang w:val="es-ES" w:eastAsia="es-ES" w:bidi="ar-SA"/>
    </w:rPr>
  </w:style>
  <w:style w:type="paragraph" w:styleId="2">
    <w:name w:val="heading 1"/>
    <w:basedOn w:val="1"/>
    <w:next w:val="1"/>
    <w:qFormat/>
    <w:uiPriority w:val="0"/>
    <w:pPr>
      <w:keepNext/>
      <w:suppressAutoHyphens/>
      <w:spacing w:line="312" w:lineRule="atLeast"/>
      <w:outlineLvl w:val="0"/>
    </w:pPr>
    <w:rPr>
      <w:rFonts w:ascii="Courier" w:hAnsi="Courier"/>
      <w:b/>
      <w:bCs w:val="0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8"/>
    <w:unhideWhenUsed/>
    <w:qFormat/>
    <w:uiPriority w:val="99"/>
    <w:pPr>
      <w:spacing w:line="240" w:lineRule="auto"/>
    </w:pPr>
    <w:rPr>
      <w:rFonts w:ascii="Tahoma" w:hAnsi="Tahoma" w:cs="Tahoma"/>
      <w:sz w:val="16"/>
      <w:szCs w:val="16"/>
    </w:rPr>
  </w:style>
  <w:style w:type="paragraph" w:styleId="4">
    <w:name w:val="header"/>
    <w:basedOn w:val="1"/>
    <w:qFormat/>
    <w:uiPriority w:val="0"/>
    <w:pPr>
      <w:tabs>
        <w:tab w:val="center" w:pos="4419"/>
        <w:tab w:val="right" w:pos="8838"/>
      </w:tabs>
    </w:pPr>
  </w:style>
  <w:style w:type="paragraph" w:styleId="5">
    <w:name w:val="footer"/>
    <w:basedOn w:val="1"/>
    <w:qFormat/>
    <w:uiPriority w:val="0"/>
    <w:pPr>
      <w:tabs>
        <w:tab w:val="center" w:pos="4419"/>
        <w:tab w:val="right" w:pos="8838"/>
      </w:tabs>
    </w:pPr>
  </w:style>
  <w:style w:type="character" w:customStyle="1" w:styleId="8">
    <w:name w:val="Texto de globo Car"/>
    <w:link w:val="3"/>
    <w:semiHidden/>
    <w:uiPriority w:val="99"/>
    <w:rPr>
      <w:rFonts w:ascii="Tahoma" w:hAnsi="Tahoma" w:cs="Tahoma"/>
      <w:bCs/>
      <w:spacing w:val="-3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0FFD7AB-6523-4D61-88DB-3FFCB943BEB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84</TotalTime>
  <ScaleCrop>false</ScaleCrop>
  <LinksUpToDate>false</LinksUpToDate>
  <CharactersWithSpaces>0</CharactersWithSpaces>
  <Application>WPS Office_10.2.0.7516_F1E327BC-269C-435d-A152-05C5408002CA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2020-08-13T15:19:00Z</dcterms:created>
  <dc:creator>Sonia Colobini</dc:creator>
  <cp:lastModifiedBy>Sonia Colobini</cp:lastModifiedBy>
  <cp:lastPrinted>2021-08-18T11:33:00Z</cp:lastPrinted>
  <dcterms:modified xsi:type="dcterms:W3CDTF">2022-08-17T16:35:36Z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2058-10.2.0.7516</vt:lpwstr>
  </property>
</Properties>
</file>