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66644">
        <w:rPr>
          <w:b/>
          <w:lang w:val="es-MX"/>
        </w:rPr>
        <w:t>2.021</w:t>
      </w:r>
      <w:r w:rsidR="0071517C">
        <w:rPr>
          <w:b/>
          <w:lang w:val="es-MX"/>
        </w:rPr>
        <w:t xml:space="preserve">  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>Trimestre: CUARTO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Tasa de Justicia</w:t>
      </w:r>
      <w:r w:rsidR="008D6591">
        <w:t xml:space="preserve"> (Financiamiento 21) </w:t>
      </w:r>
      <w:r w:rsidR="0071517C">
        <w:t xml:space="preserve">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E92620" w:rsidRDefault="00E13A6B" w:rsidP="0071517C">
      <w:pPr>
        <w:tabs>
          <w:tab w:val="left" w:pos="4680"/>
        </w:tabs>
        <w:spacing w:line="360" w:lineRule="auto"/>
        <w:ind w:left="720"/>
        <w:jc w:val="both"/>
      </w:pPr>
      <w:r>
        <w:t>Aunque no se exponga, c</w:t>
      </w:r>
      <w:r w:rsidR="003F41E1">
        <w:t xml:space="preserve">abe </w:t>
      </w:r>
      <w:r w:rsidR="00466644">
        <w:t>mencionar que la recaudación de dicho fina</w:t>
      </w:r>
      <w:r w:rsidR="00466644">
        <w:t>n</w:t>
      </w:r>
      <w:r w:rsidR="00466644">
        <w:t>ciamiento (que es nuestra principal fuente para financiar erogaciones de fu</w:t>
      </w:r>
      <w:r w:rsidR="00466644">
        <w:t>n</w:t>
      </w:r>
      <w:r w:rsidR="00466644">
        <w:t xml:space="preserve">cionamiento), </w:t>
      </w:r>
      <w:r w:rsidR="00E92620">
        <w:t xml:space="preserve">ha tenido un mejor </w:t>
      </w:r>
      <w:r w:rsidR="000F0DA3">
        <w:t xml:space="preserve">desempeño </w:t>
      </w:r>
      <w:r w:rsidR="0016414E">
        <w:t xml:space="preserve">del esperado, superando en aproximadamente un 25% el Votado para este ejercicio. </w:t>
      </w:r>
    </w:p>
    <w:p w:rsidR="0044686D" w:rsidRDefault="000F0DA3" w:rsidP="0071517C">
      <w:pPr>
        <w:tabs>
          <w:tab w:val="left" w:pos="4680"/>
        </w:tabs>
        <w:spacing w:line="360" w:lineRule="auto"/>
        <w:ind w:left="720"/>
        <w:jc w:val="both"/>
      </w:pPr>
      <w:r>
        <w:t>Cabe men</w:t>
      </w:r>
      <w:r w:rsidR="00E92620">
        <w:t xml:space="preserve">cionar también, que durante este período </w:t>
      </w:r>
      <w:r w:rsidR="0016414E">
        <w:t xml:space="preserve">continuaron los ingresos de remesas </w:t>
      </w:r>
      <w:r w:rsidR="00E92620">
        <w:t xml:space="preserve">del Financiamiento 368 </w:t>
      </w:r>
      <w:r w:rsidR="00E92620" w:rsidRPr="0016323C">
        <w:t xml:space="preserve">Fondo de Depósitos Judiciales – Ley </w:t>
      </w:r>
      <w:r w:rsidR="00E92620">
        <w:t xml:space="preserve">9228, </w:t>
      </w:r>
      <w:r w:rsidR="0016414E">
        <w:t xml:space="preserve">recurso que no se había contemplado dentro de la programación debido a la falta de certeza en cuanto al comienzo de su implementación. </w:t>
      </w:r>
    </w:p>
    <w:p w:rsidR="00466644" w:rsidRDefault="0046664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A6D3D" w:rsidRDefault="009E200E" w:rsidP="0071517C">
      <w:pPr>
        <w:tabs>
          <w:tab w:val="left" w:pos="4680"/>
        </w:tabs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</w:t>
      </w:r>
    </w:p>
    <w:p w:rsidR="002358AF" w:rsidRDefault="00D87D59" w:rsidP="002358AF">
      <w:pPr>
        <w:tabs>
          <w:tab w:val="left" w:pos="4680"/>
        </w:tabs>
        <w:spacing w:line="360" w:lineRule="auto"/>
        <w:ind w:left="720"/>
        <w:jc w:val="both"/>
      </w:pPr>
      <w:r>
        <w:t>En cuanto a las erogaci</w:t>
      </w:r>
      <w:r w:rsidR="0044686D">
        <w:t>ones de capital son considerablemente</w:t>
      </w:r>
      <w:r>
        <w:t xml:space="preserve"> más altas que las pro</w:t>
      </w:r>
      <w:r w:rsidR="0016414E">
        <w:t xml:space="preserve">gramadas debido principalmente </w:t>
      </w:r>
      <w:r w:rsidR="0044794E">
        <w:t>a la ejecución de la obra de remodel</w:t>
      </w:r>
      <w:r w:rsidR="0044794E">
        <w:t>a</w:t>
      </w:r>
      <w:r w:rsidR="0044794E">
        <w:t>ción y adecuación del Inmueble destinado al Juzgado de Familia de Godoy Cruz, como así también a la entrega de los equipos informáticos tramitados a principio de año.</w:t>
      </w: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560149" w:rsidRDefault="00560149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44794E">
        <w:rPr>
          <w:rFonts w:ascii="Arial" w:hAnsi="Arial" w:cs="Arial"/>
          <w:b/>
          <w:bCs/>
          <w:sz w:val="16"/>
          <w:szCs w:val="16"/>
        </w:rPr>
        <w:t>Febrero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44794E">
        <w:rPr>
          <w:rFonts w:ascii="Arial" w:hAnsi="Arial" w:cs="Arial"/>
          <w:b/>
          <w:bCs/>
          <w:sz w:val="16"/>
          <w:szCs w:val="16"/>
        </w:rPr>
        <w:t>2</w:t>
      </w:r>
      <w:bookmarkStart w:id="0" w:name="_GoBack"/>
      <w:bookmarkEnd w:id="0"/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640DB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03BFB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609B2"/>
    <w:rsid w:val="00A669FC"/>
    <w:rsid w:val="00A75F92"/>
    <w:rsid w:val="00A8293C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E3CFB"/>
    <w:rsid w:val="00F15979"/>
    <w:rsid w:val="00F15B54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83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2019-04-05T15:06:00Z</cp:lastPrinted>
  <dcterms:created xsi:type="dcterms:W3CDTF">2022-02-03T11:58:00Z</dcterms:created>
  <dcterms:modified xsi:type="dcterms:W3CDTF">2022-02-03T12:25:00Z</dcterms:modified>
</cp:coreProperties>
</file>