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7C3A0C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C87007">
        <w:rPr>
          <w:rFonts w:ascii="Verdana" w:hAnsi="Verdana"/>
          <w:b/>
        </w:rPr>
        <w:t>1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</w:t>
      </w:r>
      <w:r w:rsidR="00C87007">
        <w:rPr>
          <w:rFonts w:ascii="Verdana" w:hAnsi="Verdana"/>
          <w:sz w:val="22"/>
          <w:szCs w:val="22"/>
          <w:u w:val="single"/>
        </w:rPr>
        <w:t xml:space="preserve">LOS </w:t>
      </w:r>
      <w:r w:rsidRPr="00753476">
        <w:rPr>
          <w:rFonts w:ascii="Verdana" w:hAnsi="Verdana"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B33656" w:rsidRDefault="00B33656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Pr="00C87007" w:rsidRDefault="009C42E6" w:rsidP="00B3365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C87007" w:rsidRPr="00C87007">
        <w:rPr>
          <w:rFonts w:ascii="Verdana" w:hAnsi="Verdana"/>
          <w:color w:val="000000"/>
        </w:rPr>
        <w:t>En este trimestre se ejecutaron en un importe menor a lo programado como consecuencia de economías presupuestarias logradas en la ejecución del Presupuesto 202</w:t>
      </w:r>
      <w:r w:rsidR="00EF2D50">
        <w:rPr>
          <w:rFonts w:ascii="Verdana" w:hAnsi="Verdana"/>
          <w:color w:val="000000"/>
        </w:rPr>
        <w:t>1</w:t>
      </w:r>
      <w:r w:rsidR="002D7C16">
        <w:rPr>
          <w:rFonts w:ascii="Verdana" w:hAnsi="Verdana"/>
          <w:color w:val="000000"/>
        </w:rPr>
        <w:t>, ya que se  tomaron</w:t>
      </w:r>
      <w:r w:rsidR="00C87007" w:rsidRPr="00C87007">
        <w:rPr>
          <w:rFonts w:ascii="Verdana" w:hAnsi="Verdana"/>
          <w:color w:val="000000"/>
        </w:rPr>
        <w:t xml:space="preserve"> medidas para hacer más eficiente el uso de los fondos públicos</w:t>
      </w:r>
      <w:r w:rsidR="002D7C16">
        <w:rPr>
          <w:rFonts w:ascii="Verdana" w:hAnsi="Verdana"/>
          <w:color w:val="000000"/>
        </w:rPr>
        <w:t xml:space="preserve">, </w:t>
      </w:r>
      <w:r w:rsidR="00C87007" w:rsidRPr="00C87007">
        <w:rPr>
          <w:rFonts w:ascii="Verdana" w:hAnsi="Verdana"/>
          <w:color w:val="000000"/>
        </w:rPr>
        <w:t xml:space="preserve">tanto  en gastos de personal, adicionales, optimización y disminución en las compras  y servicios. Se ha </w:t>
      </w:r>
      <w:r w:rsidR="002D7C16">
        <w:rPr>
          <w:rFonts w:ascii="Verdana" w:hAnsi="Verdana"/>
          <w:color w:val="000000"/>
        </w:rPr>
        <w:t>realizado el trabajo en forma presencial y</w:t>
      </w:r>
      <w:r w:rsidR="00C87007" w:rsidRPr="00C87007">
        <w:rPr>
          <w:rFonts w:ascii="Verdana" w:hAnsi="Verdana"/>
          <w:color w:val="000000"/>
        </w:rPr>
        <w:t xml:space="preserve"> teletrabajo. </w:t>
      </w: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8B4F13">
        <w:rPr>
          <w:rFonts w:ascii="Verdana" w:hAnsi="Verdana"/>
        </w:rPr>
        <w:t>17.470</w:t>
      </w:r>
      <w:r w:rsidR="00EB2BAA">
        <w:rPr>
          <w:rFonts w:ascii="Verdana" w:hAnsi="Verdana"/>
        </w:rPr>
        <w:t>.835,23</w:t>
      </w:r>
      <w:r w:rsidR="00C87007" w:rsidRPr="00B33656">
        <w:rPr>
          <w:rFonts w:ascii="Verdana" w:hAnsi="Verdana"/>
        </w:rPr>
        <w:t xml:space="preserve"> (Pesos </w:t>
      </w:r>
      <w:r w:rsidR="00EB2BAA">
        <w:rPr>
          <w:rFonts w:ascii="Verdana" w:hAnsi="Verdana"/>
        </w:rPr>
        <w:t>diecisiete millones cuatrocientos setenta mil ochocientos treinta y cinco</w:t>
      </w:r>
      <w:r w:rsidR="00C87007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con </w:t>
      </w:r>
      <w:r w:rsidR="00C87007">
        <w:rPr>
          <w:rFonts w:ascii="Verdana" w:hAnsi="Verdana"/>
        </w:rPr>
        <w:t>2</w:t>
      </w:r>
      <w:r w:rsidR="00EB2BAA">
        <w:rPr>
          <w:rFonts w:ascii="Verdana" w:hAnsi="Verdana"/>
        </w:rPr>
        <w:t>3</w:t>
      </w:r>
      <w:r w:rsidR="00C87007">
        <w:rPr>
          <w:rFonts w:ascii="Verdana" w:hAnsi="Verdana"/>
        </w:rPr>
        <w:t>/</w:t>
      </w:r>
      <w:r w:rsidR="00C87007" w:rsidRPr="00B33656">
        <w:rPr>
          <w:rFonts w:ascii="Verdana" w:hAnsi="Verdana"/>
        </w:rPr>
        <w:t>100),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EB2BAA">
        <w:rPr>
          <w:rFonts w:ascii="Verdana" w:hAnsi="Verdana"/>
        </w:rPr>
        <w:t>2.545.867,43</w:t>
      </w:r>
      <w:r w:rsidR="00C87007" w:rsidRPr="00B33656">
        <w:rPr>
          <w:rFonts w:ascii="Verdana" w:hAnsi="Verdana"/>
        </w:rPr>
        <w:t xml:space="preserve"> (</w:t>
      </w:r>
      <w:r w:rsidR="00C87007">
        <w:rPr>
          <w:rFonts w:ascii="Verdana" w:hAnsi="Verdana"/>
        </w:rPr>
        <w:t xml:space="preserve">Pesos </w:t>
      </w:r>
      <w:r w:rsidR="00EB2BAA">
        <w:rPr>
          <w:rFonts w:ascii="Verdana" w:hAnsi="Verdana"/>
        </w:rPr>
        <w:t>dos</w:t>
      </w:r>
      <w:r w:rsidR="00C87007">
        <w:rPr>
          <w:rFonts w:ascii="Verdana" w:hAnsi="Verdana"/>
        </w:rPr>
        <w:t xml:space="preserve"> millones</w:t>
      </w:r>
      <w:r w:rsidR="00EB2BAA">
        <w:rPr>
          <w:rFonts w:ascii="Verdana" w:hAnsi="Verdana"/>
        </w:rPr>
        <w:t xml:space="preserve"> quinientos cuarenta y cinco</w:t>
      </w:r>
      <w:r w:rsidR="00C87007">
        <w:rPr>
          <w:rFonts w:ascii="Verdana" w:hAnsi="Verdana"/>
        </w:rPr>
        <w:t xml:space="preserve"> mil </w:t>
      </w:r>
      <w:r w:rsidR="00EB2BAA">
        <w:rPr>
          <w:rFonts w:ascii="Verdana" w:hAnsi="Verdana"/>
        </w:rPr>
        <w:t>ochocientos</w:t>
      </w:r>
      <w:r w:rsidR="00C01616">
        <w:rPr>
          <w:rFonts w:ascii="Verdana" w:hAnsi="Verdana"/>
        </w:rPr>
        <w:t xml:space="preserve"> sesenta y siete </w:t>
      </w:r>
      <w:r w:rsidR="00C87007">
        <w:rPr>
          <w:rFonts w:ascii="Verdana" w:hAnsi="Verdana"/>
        </w:rPr>
        <w:t>con</w:t>
      </w:r>
      <w:r w:rsidR="00C87007" w:rsidRPr="00B33656">
        <w:rPr>
          <w:rFonts w:ascii="Verdana" w:hAnsi="Verdana"/>
        </w:rPr>
        <w:t xml:space="preserve"> </w:t>
      </w:r>
      <w:r w:rsidR="00C01616">
        <w:rPr>
          <w:rFonts w:ascii="Verdana" w:hAnsi="Verdana"/>
        </w:rPr>
        <w:t>43</w:t>
      </w:r>
      <w:r w:rsidR="00C87007" w:rsidRPr="00B33656">
        <w:rPr>
          <w:rFonts w:ascii="Verdana" w:hAnsi="Verdana"/>
        </w:rPr>
        <w:t>/100).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096C74" w:rsidRDefault="00096C7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06121F" w:rsidRDefault="00B33656" w:rsidP="0006121F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 </w:t>
      </w: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Capital:</w:t>
      </w:r>
      <w:r w:rsidRPr="00B33656">
        <w:rPr>
          <w:rFonts w:ascii="Verdana" w:hAnsi="Verdana"/>
          <w:color w:val="000000"/>
        </w:rPr>
        <w:t xml:space="preserve">  </w:t>
      </w:r>
      <w:r w:rsidR="0006121F">
        <w:rPr>
          <w:rFonts w:ascii="Verdana" w:hAnsi="Verdana"/>
          <w:color w:val="000000"/>
        </w:rPr>
        <w:t xml:space="preserve"> En el </w:t>
      </w:r>
      <w:r w:rsidR="00EF2D50">
        <w:rPr>
          <w:rFonts w:ascii="Verdana" w:hAnsi="Verdana"/>
          <w:color w:val="000000"/>
        </w:rPr>
        <w:t xml:space="preserve">presente </w:t>
      </w:r>
      <w:r w:rsidR="0006121F">
        <w:rPr>
          <w:rFonts w:ascii="Verdana" w:hAnsi="Verdana"/>
          <w:color w:val="000000"/>
        </w:rPr>
        <w:t xml:space="preserve">trimestre </w:t>
      </w:r>
      <w:r w:rsidR="00EF2D50">
        <w:rPr>
          <w:rFonts w:ascii="Verdana" w:hAnsi="Verdana"/>
          <w:color w:val="000000"/>
        </w:rPr>
        <w:t xml:space="preserve">en </w:t>
      </w:r>
      <w:r w:rsidR="0006121F">
        <w:rPr>
          <w:rFonts w:ascii="Verdana" w:hAnsi="Verdana"/>
          <w:color w:val="000000"/>
        </w:rPr>
        <w:t xml:space="preserve">este concepto </w:t>
      </w:r>
      <w:r w:rsidR="00EF2D50">
        <w:rPr>
          <w:rFonts w:ascii="Verdana" w:hAnsi="Verdana"/>
          <w:color w:val="000000"/>
        </w:rPr>
        <w:t xml:space="preserve"> </w:t>
      </w:r>
      <w:r w:rsidR="0006121F">
        <w:rPr>
          <w:rFonts w:ascii="Verdana" w:hAnsi="Verdana"/>
          <w:color w:val="000000"/>
        </w:rPr>
        <w:t>se ejecut</w:t>
      </w:r>
      <w:r w:rsidR="00EF2D50">
        <w:rPr>
          <w:rFonts w:ascii="Verdana" w:hAnsi="Verdana"/>
          <w:color w:val="000000"/>
        </w:rPr>
        <w:t>aron erogaciones de capital v</w:t>
      </w:r>
      <w:r w:rsidR="0006121F">
        <w:rPr>
          <w:rFonts w:ascii="Verdana" w:hAnsi="Verdana"/>
        </w:rPr>
        <w:t xml:space="preserve">isualizando en </w:t>
      </w:r>
      <w:r w:rsidR="00EF2D50">
        <w:rPr>
          <w:rFonts w:ascii="Verdana" w:hAnsi="Verdana"/>
        </w:rPr>
        <w:t xml:space="preserve">el mismo </w:t>
      </w:r>
      <w:r w:rsidR="0006121F">
        <w:rPr>
          <w:rFonts w:ascii="Verdana" w:hAnsi="Verdana"/>
        </w:rPr>
        <w:t xml:space="preserve">un monto </w:t>
      </w:r>
      <w:r w:rsidR="00C01616">
        <w:rPr>
          <w:rFonts w:ascii="Verdana" w:hAnsi="Verdana"/>
        </w:rPr>
        <w:t>$ 148.995,00 (</w:t>
      </w:r>
      <w:r w:rsidR="00C1498B">
        <w:rPr>
          <w:rFonts w:ascii="Verdana" w:hAnsi="Verdana"/>
        </w:rPr>
        <w:t>pesos</w:t>
      </w:r>
      <w:r w:rsidR="00C01616">
        <w:rPr>
          <w:rFonts w:ascii="Verdana" w:hAnsi="Verdana"/>
        </w:rPr>
        <w:t xml:space="preserve"> ciento cuarenta y ocho mil novecientos noventa y cinco) que corresponde a la compra de una notebook </w:t>
      </w:r>
      <w:r w:rsidR="00C1498B">
        <w:rPr>
          <w:rFonts w:ascii="Verdana" w:hAnsi="Verdana"/>
        </w:rPr>
        <w:t>para la</w:t>
      </w:r>
      <w:r w:rsidR="00C01616">
        <w:rPr>
          <w:rFonts w:ascii="Verdana" w:hAnsi="Verdana"/>
        </w:rPr>
        <w:t xml:space="preserve"> Contaduría General de la Provincia</w:t>
      </w:r>
      <w:r w:rsidR="00EF2D50">
        <w:rPr>
          <w:rFonts w:ascii="Verdana" w:hAnsi="Verdana"/>
        </w:rPr>
        <w:t>.</w:t>
      </w:r>
    </w:p>
    <w:p w:rsidR="00B33656" w:rsidRDefault="00B33656" w:rsidP="0006121F">
      <w:p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C1498B">
        <w:rPr>
          <w:rFonts w:ascii="Verdana" w:hAnsi="Verdana"/>
        </w:rPr>
        <w:t xml:space="preserve"> Central</w:t>
      </w:r>
      <w:r w:rsidR="003722E0" w:rsidRPr="008A5780">
        <w:rPr>
          <w:rFonts w:ascii="Verdana" w:hAnsi="Verdana"/>
        </w:rPr>
        <w:t xml:space="preserve">. 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 </w:t>
      </w:r>
    </w:p>
    <w:p w:rsidR="00346CA3" w:rsidRPr="003722E0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>El gasto figurativo es mayor al presupuestado,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606D2B" w:rsidRDefault="00136061" w:rsidP="00606D2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C76620">
        <w:rPr>
          <w:rFonts w:ascii="Verdana" w:hAnsi="Verdana"/>
        </w:rPr>
        <w:t xml:space="preserve">En </w:t>
      </w:r>
      <w:r w:rsidRPr="00C76620">
        <w:rPr>
          <w:rFonts w:ascii="Verdana" w:hAnsi="Verdana"/>
          <w:b/>
          <w:u w:val="single"/>
        </w:rPr>
        <w:t>Fuentes de Financiamiento:</w:t>
      </w:r>
      <w:r w:rsidR="003722E0" w:rsidRPr="00C76620">
        <w:rPr>
          <w:rFonts w:ascii="Verdana" w:hAnsi="Verdana"/>
          <w:b/>
        </w:rPr>
        <w:t xml:space="preserve"> </w:t>
      </w:r>
      <w:r w:rsidR="003722E0" w:rsidRPr="00C76620">
        <w:rPr>
          <w:rFonts w:ascii="Verdana" w:hAnsi="Verdana"/>
        </w:rPr>
        <w:t>El  ingreso de la fuente de financiamiento respecto a lo programado debe analizarse a nivel global en la Administración Centra</w:t>
      </w:r>
      <w:r w:rsidR="00C76620" w:rsidRPr="00C76620">
        <w:rPr>
          <w:rFonts w:ascii="Verdana" w:hAnsi="Verdana"/>
        </w:rPr>
        <w:t>l.</w:t>
      </w:r>
      <w:r w:rsidR="003722E0" w:rsidRPr="00C76620">
        <w:rPr>
          <w:rFonts w:ascii="Verdana" w:hAnsi="Verdana"/>
        </w:rPr>
        <w:t xml:space="preserve"> </w:t>
      </w:r>
      <w:r w:rsidR="003722E0" w:rsidRPr="00B40C4B">
        <w:rPr>
          <w:rFonts w:ascii="Verdana" w:hAnsi="Verdana"/>
        </w:rPr>
        <w:t>Con respecto a lo ejecutado  de  $</w:t>
      </w:r>
      <w:r w:rsidR="00041C89">
        <w:rPr>
          <w:rFonts w:ascii="Verdana" w:hAnsi="Verdana"/>
        </w:rPr>
        <w:t>741.682.561,02</w:t>
      </w:r>
      <w:r w:rsidR="003722E0" w:rsidRPr="00B40C4B">
        <w:rPr>
          <w:rFonts w:ascii="Verdana" w:hAnsi="Verdana"/>
        </w:rPr>
        <w:t xml:space="preserve"> (</w:t>
      </w:r>
      <w:r w:rsidR="00C1498B">
        <w:rPr>
          <w:rFonts w:ascii="Verdana" w:hAnsi="Verdana"/>
        </w:rPr>
        <w:t xml:space="preserve">pesos </w:t>
      </w:r>
      <w:r w:rsidR="00041C89">
        <w:rPr>
          <w:rFonts w:ascii="Verdana" w:hAnsi="Verdana"/>
        </w:rPr>
        <w:t>setecientos cuarenta y un mil</w:t>
      </w:r>
      <w:r w:rsidR="00C1498B">
        <w:rPr>
          <w:rFonts w:ascii="Verdana" w:hAnsi="Verdana"/>
        </w:rPr>
        <w:t>lones</w:t>
      </w:r>
      <w:r w:rsidR="00041C89">
        <w:rPr>
          <w:rFonts w:ascii="Verdana" w:hAnsi="Verdana"/>
        </w:rPr>
        <w:t xml:space="preserve"> seiscientos ochenta y dos mil quinientos sesenta y uno</w:t>
      </w:r>
      <w:r w:rsidR="00C1498B">
        <w:rPr>
          <w:rFonts w:ascii="Verdana" w:hAnsi="Verdana"/>
        </w:rPr>
        <w:t xml:space="preserve"> con 02/100</w:t>
      </w:r>
      <w:r w:rsidR="003722E0" w:rsidRPr="00B40C4B">
        <w:rPr>
          <w:rFonts w:ascii="Verdana" w:hAnsi="Verdana"/>
        </w:rPr>
        <w:t>)</w:t>
      </w:r>
      <w:r w:rsidR="00C76620" w:rsidRPr="00B40C4B">
        <w:rPr>
          <w:rFonts w:ascii="Verdana" w:hAnsi="Verdana"/>
        </w:rPr>
        <w:t xml:space="preserve"> corresponde a </w:t>
      </w:r>
      <w:r w:rsidR="003722E0" w:rsidRPr="00B40C4B">
        <w:rPr>
          <w:rFonts w:ascii="Verdana" w:hAnsi="Verdana"/>
        </w:rPr>
        <w:t>Intereses Capitalizados por préstamos con</w:t>
      </w:r>
      <w:r w:rsidR="00041C89">
        <w:rPr>
          <w:rFonts w:ascii="Verdana" w:hAnsi="Verdana"/>
        </w:rPr>
        <w:t xml:space="preserve"> F.F.D.P. Asistencia Financiera -</w:t>
      </w:r>
      <w:proofErr w:type="spellStart"/>
      <w:r w:rsidR="00041C89">
        <w:rPr>
          <w:rFonts w:ascii="Verdana" w:hAnsi="Verdana"/>
        </w:rPr>
        <w:t>Dto</w:t>
      </w:r>
      <w:proofErr w:type="spellEnd"/>
      <w:r w:rsidR="00041C89">
        <w:rPr>
          <w:rFonts w:ascii="Verdana" w:hAnsi="Verdana"/>
        </w:rPr>
        <w:t xml:space="preserve"> 2256/19</w:t>
      </w:r>
      <w:r w:rsidR="00C76620" w:rsidRPr="00B40C4B">
        <w:rPr>
          <w:rFonts w:ascii="Verdana" w:hAnsi="Verdana"/>
        </w:rPr>
        <w:t>.</w:t>
      </w:r>
      <w:r w:rsidR="003722E0" w:rsidRPr="00B40C4B">
        <w:rPr>
          <w:rFonts w:ascii="Verdana" w:hAnsi="Verdana"/>
        </w:rPr>
        <w:t xml:space="preserve"> Información que surge del CUC 020  </w:t>
      </w:r>
      <w:r w:rsidR="003722E0" w:rsidRPr="00B40C4B">
        <w:rPr>
          <w:rFonts w:ascii="Verdana" w:hAnsi="Verdana"/>
          <w:color w:val="000000"/>
        </w:rPr>
        <w:t>Dirección General de Crédito al Sector Público</w:t>
      </w:r>
      <w:r w:rsidR="00CF28CB" w:rsidRPr="00B40C4B">
        <w:rPr>
          <w:rFonts w:ascii="Verdana" w:hAnsi="Verdana"/>
          <w:color w:val="000000"/>
        </w:rPr>
        <w:t>.</w:t>
      </w:r>
      <w:r w:rsidR="003722E0" w:rsidRPr="00B40C4B">
        <w:rPr>
          <w:rFonts w:ascii="Verdana" w:hAnsi="Verdana"/>
        </w:rPr>
        <w:t xml:space="preserve">  </w:t>
      </w:r>
    </w:p>
    <w:p w:rsidR="00292867" w:rsidRDefault="00292867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292867" w:rsidRPr="00B40C4B" w:rsidRDefault="00292867" w:rsidP="00292867">
      <w:pPr>
        <w:spacing w:line="360" w:lineRule="auto"/>
        <w:ind w:left="644"/>
        <w:jc w:val="both"/>
        <w:rPr>
          <w:rFonts w:ascii="Verdana" w:hAnsi="Verdana"/>
        </w:rPr>
      </w:pPr>
    </w:p>
    <w:p w:rsidR="00B33656" w:rsidRPr="00292867" w:rsidRDefault="00136061" w:rsidP="00BB10FC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10FC">
        <w:rPr>
          <w:rFonts w:ascii="Verdana" w:hAnsi="Verdana"/>
        </w:rPr>
        <w:t xml:space="preserve"> </w:t>
      </w:r>
      <w:r w:rsidR="00B33656" w:rsidRPr="00BB10FC">
        <w:rPr>
          <w:rFonts w:ascii="Verdana" w:hAnsi="Verdana"/>
          <w:color w:val="000000"/>
        </w:rPr>
        <w:t xml:space="preserve">En las </w:t>
      </w:r>
      <w:r w:rsidR="00B33656" w:rsidRPr="00BB10FC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B10FC">
        <w:rPr>
          <w:rFonts w:ascii="Verdana" w:hAnsi="Verdana"/>
          <w:color w:val="000000"/>
        </w:rPr>
        <w:t xml:space="preserve">   Se observa una ejecución </w:t>
      </w:r>
      <w:r w:rsidR="00041C89">
        <w:rPr>
          <w:rFonts w:ascii="Verdana" w:hAnsi="Verdana"/>
          <w:color w:val="000000"/>
        </w:rPr>
        <w:t>menor</w:t>
      </w:r>
      <w:r w:rsidR="00B33656" w:rsidRPr="00BB10FC">
        <w:rPr>
          <w:rFonts w:ascii="Verdana" w:hAnsi="Verdana"/>
          <w:color w:val="000000"/>
        </w:rPr>
        <w:t xml:space="preserve"> a lo programado debido al devengado de la deuda flotante del Ejercicio anterior de las partidas Amortización Deuda Residuos Pasivos (74101) y Amortización Deuda Acreedores Varios (74102)</w:t>
      </w:r>
      <w:r w:rsidR="00C90C5F">
        <w:rPr>
          <w:rFonts w:ascii="Verdana" w:hAnsi="Verdana"/>
          <w:color w:val="000000"/>
        </w:rPr>
        <w:t>, el que tuvo</w:t>
      </w:r>
      <w:r w:rsidR="00B33656" w:rsidRPr="00BB10FC">
        <w:rPr>
          <w:rFonts w:ascii="Verdana" w:hAnsi="Verdana"/>
          <w:color w:val="000000"/>
        </w:rPr>
        <w:t xml:space="preserve"> mayor impacto en el 1er Trimestre del 202</w:t>
      </w:r>
      <w:r w:rsidR="00C76620" w:rsidRPr="00BB10FC">
        <w:rPr>
          <w:rFonts w:ascii="Verdana" w:hAnsi="Verdana"/>
          <w:color w:val="000000"/>
        </w:rPr>
        <w:t>1</w:t>
      </w:r>
      <w:r w:rsidR="00EA33A9" w:rsidRPr="00BB10FC">
        <w:rPr>
          <w:rFonts w:ascii="Verdana" w:hAnsi="Verdana"/>
          <w:color w:val="000000"/>
        </w:rPr>
        <w:t>.</w:t>
      </w:r>
      <w:r w:rsidR="00CF28CB" w:rsidRPr="00BB10FC">
        <w:rPr>
          <w:rFonts w:ascii="Verdana" w:hAnsi="Verdana"/>
          <w:color w:val="000000"/>
        </w:rPr>
        <w:t xml:space="preserve"> </w:t>
      </w:r>
      <w:r w:rsidR="00BB10FC" w:rsidRPr="00B40C4B">
        <w:rPr>
          <w:rFonts w:ascii="Verdana" w:hAnsi="Verdana"/>
          <w:color w:val="000000"/>
        </w:rPr>
        <w:t xml:space="preserve">Con respecto </w:t>
      </w:r>
      <w:r w:rsidR="00C90C5F">
        <w:rPr>
          <w:rFonts w:ascii="Verdana" w:hAnsi="Verdana"/>
          <w:color w:val="000000"/>
        </w:rPr>
        <w:t xml:space="preserve">a la </w:t>
      </w:r>
      <w:r w:rsidR="00BB10FC" w:rsidRPr="00B40C4B">
        <w:rPr>
          <w:rFonts w:ascii="Verdana" w:hAnsi="Verdana"/>
          <w:color w:val="000000"/>
        </w:rPr>
        <w:t>Amortización de Capital por otras deudas (amortización de la deuda consolidada) (72103)</w:t>
      </w:r>
      <w:r w:rsidR="00E61B16" w:rsidRPr="00B40C4B">
        <w:rPr>
          <w:rFonts w:ascii="Verdana" w:hAnsi="Verdana"/>
          <w:color w:val="000000"/>
        </w:rPr>
        <w:t xml:space="preserve"> en este trimestre</w:t>
      </w:r>
      <w:r w:rsidR="00BB10FC" w:rsidRPr="00B40C4B">
        <w:rPr>
          <w:rFonts w:ascii="Verdana" w:hAnsi="Verdana"/>
          <w:color w:val="000000"/>
        </w:rPr>
        <w:t xml:space="preserve"> </w:t>
      </w:r>
      <w:r w:rsidR="00EF2D50" w:rsidRPr="00B40C4B">
        <w:rPr>
          <w:rFonts w:ascii="Verdana" w:hAnsi="Verdana"/>
          <w:color w:val="000000"/>
        </w:rPr>
        <w:t xml:space="preserve">se </w:t>
      </w:r>
      <w:r w:rsidR="00BB10FC" w:rsidRPr="00B40C4B">
        <w:rPr>
          <w:rFonts w:ascii="Verdana" w:hAnsi="Verdana"/>
          <w:color w:val="000000"/>
        </w:rPr>
        <w:t xml:space="preserve">ejecutó en </w:t>
      </w:r>
      <w:r w:rsidR="004840F1">
        <w:rPr>
          <w:rFonts w:ascii="Verdana" w:hAnsi="Verdana"/>
          <w:color w:val="000000"/>
        </w:rPr>
        <w:t>menor</w:t>
      </w:r>
      <w:r w:rsidR="00292867">
        <w:rPr>
          <w:rFonts w:ascii="Verdana" w:hAnsi="Verdana"/>
          <w:color w:val="000000"/>
        </w:rPr>
        <w:t xml:space="preserve"> medida</w:t>
      </w:r>
      <w:r w:rsidR="00292867" w:rsidRPr="00292867">
        <w:rPr>
          <w:rFonts w:ascii="Verdana" w:hAnsi="Verdana" w:cs="Arial"/>
        </w:rPr>
        <w:t>, debido en parte, a la operatoria de cancelación del Bono Mendoza 2021, cuya orden de pago (nº 91 - CUC 20 - año 2021) fue realizada por un monto de amortización</w:t>
      </w:r>
      <w:r w:rsidR="00C90C5F">
        <w:rPr>
          <w:rFonts w:ascii="Verdana" w:hAnsi="Verdana" w:cs="Arial"/>
        </w:rPr>
        <w:t xml:space="preserve"> por un </w:t>
      </w:r>
      <w:r w:rsidR="00292867" w:rsidRPr="00292867">
        <w:rPr>
          <w:rFonts w:ascii="Verdana" w:hAnsi="Verdana" w:cs="Arial"/>
        </w:rPr>
        <w:t>total de</w:t>
      </w:r>
      <w:r w:rsidR="00C90C5F">
        <w:rPr>
          <w:rFonts w:ascii="Verdana" w:hAnsi="Verdana" w:cs="Arial"/>
        </w:rPr>
        <w:t xml:space="preserve"> </w:t>
      </w:r>
      <w:r w:rsidR="00292867" w:rsidRPr="00292867">
        <w:rPr>
          <w:rFonts w:ascii="Verdana" w:hAnsi="Verdana" w:cs="Arial"/>
        </w:rPr>
        <w:t>$5.218.752.500,00, y luego fue realizado un BIN</w:t>
      </w:r>
      <w:r w:rsidR="00C90C5F">
        <w:rPr>
          <w:rFonts w:ascii="Verdana" w:hAnsi="Verdana" w:cs="Arial"/>
        </w:rPr>
        <w:t xml:space="preserve"> (Boleto de Ingreso </w:t>
      </w:r>
      <w:r w:rsidR="00292867" w:rsidRPr="00292867">
        <w:rPr>
          <w:rFonts w:ascii="Verdana" w:hAnsi="Verdana" w:cs="Arial"/>
        </w:rPr>
        <w:t>nº 8 - CUC 20 - año 2021)</w:t>
      </w:r>
      <w:r w:rsidR="002D7D86">
        <w:rPr>
          <w:rFonts w:ascii="Verdana" w:hAnsi="Verdana" w:cs="Arial"/>
        </w:rPr>
        <w:t xml:space="preserve"> de </w:t>
      </w:r>
      <w:r w:rsidR="002D7D86" w:rsidRPr="00292867">
        <w:rPr>
          <w:rFonts w:ascii="Verdana" w:hAnsi="Verdana" w:cs="Arial"/>
        </w:rPr>
        <w:t>$2.901.947.360,00</w:t>
      </w:r>
      <w:r w:rsidR="00292867" w:rsidRPr="00292867">
        <w:rPr>
          <w:rFonts w:ascii="Verdana" w:hAnsi="Verdana" w:cs="Arial"/>
        </w:rPr>
        <w:t xml:space="preserve">, </w:t>
      </w:r>
      <w:r w:rsidR="002D7D86">
        <w:rPr>
          <w:rFonts w:ascii="Verdana" w:hAnsi="Verdana" w:cs="Arial"/>
        </w:rPr>
        <w:t xml:space="preserve">lo </w:t>
      </w:r>
      <w:r w:rsidR="00292867" w:rsidRPr="00292867">
        <w:rPr>
          <w:rFonts w:ascii="Verdana" w:hAnsi="Verdana" w:cs="Arial"/>
        </w:rPr>
        <w:t>que permitió un ahorro presupuestario (ya que esta parte no fue transferida por la Tesorería General de la Provincia a los inversores que poseían este Bono en cartera, debido a que esta porción de inversores decidió suscribir, por dicho monto, la nueva Letra 2021 de la Provincia de Mendoza, emitida en fecha 03/06/21, en lugar de cobrar lo correspondiente a sus tenencias del Bono). Además, parte de la diferencia, puede ser explicada debido a las variaciones en las proyecciones de: los distintos índices de ajuste (UVA, CER), la tasa de interés estimada y el tipo de cambio proyectado</w:t>
      </w:r>
      <w:r w:rsidR="00BB10FC" w:rsidRPr="00292867">
        <w:rPr>
          <w:rFonts w:ascii="Verdana" w:hAnsi="Verdana"/>
          <w:color w:val="000000"/>
        </w:rPr>
        <w:t>.</w:t>
      </w:r>
      <w:r w:rsidR="00E61B16" w:rsidRPr="00292867">
        <w:rPr>
          <w:rFonts w:ascii="Verdana" w:hAnsi="Verdana"/>
          <w:color w:val="000000"/>
        </w:rPr>
        <w:t xml:space="preserve"> </w:t>
      </w:r>
      <w:r w:rsidR="002D7D86">
        <w:rPr>
          <w:rFonts w:ascii="Verdana" w:hAnsi="Verdana"/>
          <w:color w:val="000000"/>
        </w:rPr>
        <w:t xml:space="preserve">Dicha </w:t>
      </w:r>
      <w:r w:rsidR="00E61B16" w:rsidRPr="00292867">
        <w:rPr>
          <w:rFonts w:ascii="Verdana" w:hAnsi="Verdana"/>
        </w:rPr>
        <w:t xml:space="preserve">Información surge del CUC 020  </w:t>
      </w:r>
      <w:r w:rsidR="002D7D86">
        <w:rPr>
          <w:rFonts w:ascii="Verdana" w:hAnsi="Verdana"/>
        </w:rPr>
        <w:t xml:space="preserve">detallada por la </w:t>
      </w:r>
      <w:bookmarkStart w:id="0" w:name="_GoBack"/>
      <w:bookmarkEnd w:id="0"/>
      <w:r w:rsidR="00E61B16" w:rsidRPr="00292867">
        <w:rPr>
          <w:rFonts w:ascii="Verdana" w:hAnsi="Verdana"/>
          <w:color w:val="000000"/>
        </w:rPr>
        <w:t>Dirección General de Crédito al Sector Público.</w:t>
      </w:r>
    </w:p>
    <w:sectPr w:rsidR="00B33656" w:rsidRPr="00292867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68" w:rsidRDefault="00487D68" w:rsidP="00022F60">
      <w:r>
        <w:separator/>
      </w:r>
    </w:p>
  </w:endnote>
  <w:endnote w:type="continuationSeparator" w:id="0">
    <w:p w:rsidR="00487D68" w:rsidRDefault="00487D68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68" w:rsidRDefault="00487D68" w:rsidP="00022F60">
      <w:r>
        <w:separator/>
      </w:r>
    </w:p>
  </w:footnote>
  <w:footnote w:type="continuationSeparator" w:id="0">
    <w:p w:rsidR="00487D68" w:rsidRDefault="00487D68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487D68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41C89"/>
    <w:rsid w:val="00053410"/>
    <w:rsid w:val="00057AE5"/>
    <w:rsid w:val="000606CC"/>
    <w:rsid w:val="0006121F"/>
    <w:rsid w:val="00067998"/>
    <w:rsid w:val="00091097"/>
    <w:rsid w:val="00094A9C"/>
    <w:rsid w:val="00096C74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92867"/>
    <w:rsid w:val="002A7C2D"/>
    <w:rsid w:val="002C1B5C"/>
    <w:rsid w:val="002C21B3"/>
    <w:rsid w:val="002C5FB3"/>
    <w:rsid w:val="002D267D"/>
    <w:rsid w:val="002D32DD"/>
    <w:rsid w:val="002D7C16"/>
    <w:rsid w:val="002D7D86"/>
    <w:rsid w:val="002F1816"/>
    <w:rsid w:val="00316DD1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66BFD"/>
    <w:rsid w:val="003722E0"/>
    <w:rsid w:val="0037323C"/>
    <w:rsid w:val="00373E68"/>
    <w:rsid w:val="003879C9"/>
    <w:rsid w:val="00395FDE"/>
    <w:rsid w:val="003A441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0F1"/>
    <w:rsid w:val="00484B5F"/>
    <w:rsid w:val="004850ED"/>
    <w:rsid w:val="00487680"/>
    <w:rsid w:val="00487D68"/>
    <w:rsid w:val="00493D56"/>
    <w:rsid w:val="004A1F87"/>
    <w:rsid w:val="004B711A"/>
    <w:rsid w:val="004C208B"/>
    <w:rsid w:val="004C4999"/>
    <w:rsid w:val="004C5EB5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C2086"/>
    <w:rsid w:val="005D0868"/>
    <w:rsid w:val="005D13DC"/>
    <w:rsid w:val="005D5978"/>
    <w:rsid w:val="005D73F5"/>
    <w:rsid w:val="005F01D3"/>
    <w:rsid w:val="005F07CF"/>
    <w:rsid w:val="005F6AF1"/>
    <w:rsid w:val="00606D2B"/>
    <w:rsid w:val="00614107"/>
    <w:rsid w:val="00617939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3A0C"/>
    <w:rsid w:val="007C514F"/>
    <w:rsid w:val="007C72E0"/>
    <w:rsid w:val="007D6482"/>
    <w:rsid w:val="007E548B"/>
    <w:rsid w:val="007F37BC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4F13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2403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24DA"/>
    <w:rsid w:val="00A33012"/>
    <w:rsid w:val="00A37DD5"/>
    <w:rsid w:val="00A42AFB"/>
    <w:rsid w:val="00A51ED2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4E55"/>
    <w:rsid w:val="00B2430F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1616"/>
    <w:rsid w:val="00C02A81"/>
    <w:rsid w:val="00C05D8B"/>
    <w:rsid w:val="00C07566"/>
    <w:rsid w:val="00C11858"/>
    <w:rsid w:val="00C1318B"/>
    <w:rsid w:val="00C13973"/>
    <w:rsid w:val="00C1498B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61D8"/>
    <w:rsid w:val="00C76620"/>
    <w:rsid w:val="00C76F2E"/>
    <w:rsid w:val="00C77987"/>
    <w:rsid w:val="00C81901"/>
    <w:rsid w:val="00C86F8A"/>
    <w:rsid w:val="00C87007"/>
    <w:rsid w:val="00C90484"/>
    <w:rsid w:val="00C90B04"/>
    <w:rsid w:val="00C90C5F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5FD5"/>
    <w:rsid w:val="00EA33A9"/>
    <w:rsid w:val="00EB2BAA"/>
    <w:rsid w:val="00EC238E"/>
    <w:rsid w:val="00ED186E"/>
    <w:rsid w:val="00ED716D"/>
    <w:rsid w:val="00ED7C8A"/>
    <w:rsid w:val="00EE5522"/>
    <w:rsid w:val="00EF2D50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4EAE8-31C5-4CC9-9F1F-D2DFC99E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650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4222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7</cp:revision>
  <cp:lastPrinted>2021-08-17T11:05:00Z</cp:lastPrinted>
  <dcterms:created xsi:type="dcterms:W3CDTF">2021-08-17T13:02:00Z</dcterms:created>
  <dcterms:modified xsi:type="dcterms:W3CDTF">2021-08-17T15:24:00Z</dcterms:modified>
</cp:coreProperties>
</file>