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FC1518" w:rsidRDefault="00FC1518" w:rsidP="005C3EAB">
      <w:pPr>
        <w:ind w:left="1134"/>
        <w:rPr>
          <w:rFonts w:ascii="Verdana" w:hAnsi="Verdana"/>
        </w:rPr>
      </w:pPr>
    </w:p>
    <w:p w:rsidR="0029728C" w:rsidRPr="00415CDB" w:rsidRDefault="00415CDB" w:rsidP="005C3EAB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 w:rsidR="0029728C" w:rsidRPr="00415CDB">
        <w:rPr>
          <w:rFonts w:ascii="Verdana" w:hAnsi="Verdana"/>
        </w:rPr>
        <w:t>27 INC. C:</w:t>
      </w:r>
    </w:p>
    <w:p w:rsidR="00FC1518" w:rsidRDefault="00FC1518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29728C" w:rsidRDefault="0029728C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>CAUSAS DE INCUMPLIMIENTOS DE LAS METAS</w:t>
      </w:r>
    </w:p>
    <w:p w:rsidR="000E1847" w:rsidRPr="007A3DA1" w:rsidRDefault="000E1847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0E1847" w:rsidRDefault="000E1847" w:rsidP="000E1847">
      <w:pPr>
        <w:rPr>
          <w:rFonts w:ascii="Verdana" w:hAnsi="Verdana"/>
          <w:b/>
        </w:rPr>
      </w:pPr>
      <w:r>
        <w:rPr>
          <w:rFonts w:ascii="Verdana" w:hAnsi="Verdana"/>
        </w:rPr>
        <w:t xml:space="preserve">Según se observa en el Anexo 4 de la Administración Central </w:t>
      </w:r>
      <w:r w:rsidR="00CF41C8">
        <w:rPr>
          <w:rFonts w:ascii="Verdana" w:hAnsi="Verdana"/>
        </w:rPr>
        <w:t>1er. Trimestre 2021</w:t>
      </w:r>
      <w:r>
        <w:rPr>
          <w:rFonts w:ascii="Verdana" w:hAnsi="Verdana"/>
        </w:rPr>
        <w:t xml:space="preserve">: </w:t>
      </w:r>
    </w:p>
    <w:p w:rsidR="000E1847" w:rsidRDefault="000E1847" w:rsidP="000E1847">
      <w:pPr>
        <w:ind w:left="1134"/>
        <w:jc w:val="center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CORRIENTES:</w:t>
      </w:r>
    </w:p>
    <w:p w:rsidR="005C2928" w:rsidRDefault="00EC1A6A" w:rsidP="005C2928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El </w:t>
      </w:r>
      <w:r w:rsidR="00FC3ED0">
        <w:rPr>
          <w:rFonts w:ascii="Verdana" w:hAnsi="Verdana"/>
        </w:rPr>
        <w:t xml:space="preserve">monto recaudado se ubicó por </w:t>
      </w:r>
      <w:r w:rsidR="00CF41C8">
        <w:rPr>
          <w:rFonts w:ascii="Verdana" w:hAnsi="Verdana"/>
        </w:rPr>
        <w:t xml:space="preserve">encima del programado debido principalmente </w:t>
      </w:r>
      <w:r w:rsidR="00724A2B">
        <w:rPr>
          <w:rFonts w:ascii="Verdana" w:hAnsi="Verdana"/>
        </w:rPr>
        <w:t xml:space="preserve">a </w:t>
      </w:r>
      <w:r w:rsidR="00CF41C8">
        <w:rPr>
          <w:rFonts w:ascii="Verdana" w:hAnsi="Verdana"/>
        </w:rPr>
        <w:t>una reactivación económica marcada sobre el primer trimestre que</w:t>
      </w:r>
      <w:r w:rsidR="00EC5B6D">
        <w:rPr>
          <w:rFonts w:ascii="Verdana" w:hAnsi="Verdana"/>
        </w:rPr>
        <w:t xml:space="preserve"> se ubica en valores cercanos al 2%. Este hecho sumado a la </w:t>
      </w:r>
      <w:r w:rsidR="00CF41C8">
        <w:rPr>
          <w:rFonts w:ascii="Verdana" w:hAnsi="Verdana"/>
        </w:rPr>
        <w:t>variación inflacionaria observada durante este periodo, impacta</w:t>
      </w:r>
      <w:r w:rsidR="00EC5B6D">
        <w:rPr>
          <w:rFonts w:ascii="Verdana" w:hAnsi="Verdana"/>
        </w:rPr>
        <w:t>n</w:t>
      </w:r>
      <w:r w:rsidR="00CF41C8">
        <w:rPr>
          <w:rFonts w:ascii="Verdana" w:hAnsi="Verdana"/>
        </w:rPr>
        <w:t xml:space="preserve"> de lleno en una mejora de la recaudación </w:t>
      </w:r>
      <w:r w:rsidR="00FC3ED0">
        <w:rPr>
          <w:rFonts w:ascii="Verdana" w:hAnsi="Verdana"/>
        </w:rPr>
        <w:t xml:space="preserve">los impuestos </w:t>
      </w:r>
      <w:r w:rsidR="00CF41C8">
        <w:rPr>
          <w:rFonts w:ascii="Verdana" w:hAnsi="Verdana"/>
        </w:rPr>
        <w:t xml:space="preserve">sensibles a las mismas. Como consecuencia de ello </w:t>
      </w:r>
      <w:r w:rsidR="00EC5B6D">
        <w:rPr>
          <w:rFonts w:ascii="Verdana" w:hAnsi="Verdana"/>
        </w:rPr>
        <w:t xml:space="preserve">la mejora en el performance de los recursos corrientes sobre el programado alcanza valores cercanos al 30% </w:t>
      </w:r>
      <w:r w:rsidR="00540811">
        <w:rPr>
          <w:rFonts w:ascii="Verdana" w:hAnsi="Verdana"/>
        </w:rPr>
        <w:t>de lo recaudado</w:t>
      </w:r>
      <w:r w:rsidR="00EC5B6D">
        <w:rPr>
          <w:rFonts w:ascii="Verdana" w:hAnsi="Verdana"/>
        </w:rPr>
        <w:t xml:space="preserve"> tanto en impuestos provinciales como nacionales.</w:t>
      </w:r>
      <w:r w:rsidR="00FC3ED0">
        <w:rPr>
          <w:rFonts w:ascii="Verdana" w:hAnsi="Verdana"/>
        </w:rPr>
        <w:t xml:space="preserve">  </w:t>
      </w:r>
    </w:p>
    <w:p w:rsidR="00FC3ED0" w:rsidRPr="0064547A" w:rsidRDefault="00FC3ED0" w:rsidP="005C2928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CORRIENTES:</w:t>
      </w:r>
    </w:p>
    <w:p w:rsidR="00A60F11" w:rsidRPr="0064547A" w:rsidRDefault="005A1E60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L</w:t>
      </w:r>
      <w:r w:rsidR="00540811">
        <w:rPr>
          <w:rFonts w:ascii="Verdana" w:hAnsi="Verdana"/>
        </w:rPr>
        <w:t xml:space="preserve">os gastos se ubicaron un </w:t>
      </w:r>
      <w:r w:rsidR="004405F9">
        <w:rPr>
          <w:rFonts w:ascii="Verdana" w:hAnsi="Verdana"/>
        </w:rPr>
        <w:t>23</w:t>
      </w:r>
      <w:r w:rsidR="00540811">
        <w:rPr>
          <w:rFonts w:ascii="Verdana" w:hAnsi="Verdana"/>
        </w:rPr>
        <w:t xml:space="preserve">% por </w:t>
      </w:r>
      <w:r w:rsidR="004405F9">
        <w:rPr>
          <w:rFonts w:ascii="Verdana" w:hAnsi="Verdana"/>
        </w:rPr>
        <w:t>debajo de lo esperado. Esto se debió principalmente al paulatino incremento en el ritmo de ejecuciones presupuestarias ante actividades que habían permanecido relegadas durante el ejercicio anterior, como así también a una merma en las necesidades que se habían previsto demandaría el sistema sanitario gracias a la disminución de contagios que se presentaron durante ese periodo.</w:t>
      </w:r>
    </w:p>
    <w:p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DE CAPITAL:</w:t>
      </w:r>
    </w:p>
    <w:p w:rsidR="00A60F11" w:rsidRPr="0064547A" w:rsidRDefault="00EC5B6D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Tal como</w:t>
      </w:r>
      <w:r w:rsidR="00724A2B">
        <w:rPr>
          <w:rFonts w:ascii="Verdana" w:hAnsi="Verdana"/>
        </w:rPr>
        <w:t xml:space="preserve"> se</w:t>
      </w:r>
      <w:r>
        <w:rPr>
          <w:rFonts w:ascii="Verdana" w:hAnsi="Verdana"/>
        </w:rPr>
        <w:t xml:space="preserve"> viene materializando durante los últimos trimestres, l</w:t>
      </w:r>
      <w:r w:rsidR="005312E5">
        <w:rPr>
          <w:rFonts w:ascii="Verdana" w:hAnsi="Verdana"/>
        </w:rPr>
        <w:t xml:space="preserve">a principal causa del </w:t>
      </w:r>
      <w:r w:rsidR="00FB2E9B" w:rsidRPr="0064547A">
        <w:rPr>
          <w:rFonts w:ascii="Verdana" w:hAnsi="Verdana"/>
        </w:rPr>
        <w:t xml:space="preserve">desvío </w:t>
      </w:r>
      <w:r w:rsidR="005312E5">
        <w:rPr>
          <w:rFonts w:ascii="Verdana" w:hAnsi="Verdana"/>
        </w:rPr>
        <w:t xml:space="preserve">es la </w:t>
      </w:r>
      <w:r w:rsidR="00FB2E9B" w:rsidRPr="0064547A">
        <w:rPr>
          <w:rFonts w:ascii="Verdana" w:hAnsi="Verdana"/>
        </w:rPr>
        <w:t xml:space="preserve">diferencia </w:t>
      </w:r>
      <w:r w:rsidR="005312E5">
        <w:rPr>
          <w:rFonts w:ascii="Verdana" w:hAnsi="Verdana"/>
        </w:rPr>
        <w:t>entre el</w:t>
      </w:r>
      <w:r w:rsidR="00FB2E9B" w:rsidRPr="0064547A">
        <w:rPr>
          <w:rFonts w:ascii="Verdana" w:hAnsi="Verdana"/>
        </w:rPr>
        <w:t xml:space="preserve"> tipo de cambio esperado y el efectivamente registrado al momento de la conversión </w:t>
      </w:r>
      <w:r w:rsidR="005312E5">
        <w:rPr>
          <w:rFonts w:ascii="Verdana" w:hAnsi="Verdana"/>
        </w:rPr>
        <w:t xml:space="preserve">por el </w:t>
      </w:r>
      <w:r w:rsidR="00FB2E9B" w:rsidRPr="0064547A">
        <w:rPr>
          <w:rFonts w:ascii="Verdana" w:hAnsi="Verdana"/>
        </w:rPr>
        <w:t>ingreso en dólares</w:t>
      </w:r>
      <w:r w:rsidR="005312E5">
        <w:rPr>
          <w:rFonts w:ascii="Verdana" w:hAnsi="Verdana"/>
        </w:rPr>
        <w:t xml:space="preserve"> de la cuota</w:t>
      </w:r>
      <w:r w:rsidR="00FB2E9B" w:rsidRPr="0064547A">
        <w:rPr>
          <w:rFonts w:ascii="Verdana" w:hAnsi="Verdana"/>
        </w:rPr>
        <w:t xml:space="preserve"> destinad</w:t>
      </w:r>
      <w:r w:rsidR="005312E5">
        <w:rPr>
          <w:rFonts w:ascii="Verdana" w:hAnsi="Verdana"/>
        </w:rPr>
        <w:t>a</w:t>
      </w:r>
      <w:r w:rsidR="00FB2E9B" w:rsidRPr="0064547A">
        <w:rPr>
          <w:rFonts w:ascii="Verdana" w:hAnsi="Verdana"/>
        </w:rPr>
        <w:t xml:space="preserve"> al Fideicomiso de la Obra Portezuelo del Viento</w:t>
      </w:r>
      <w:r w:rsidR="00A60F11" w:rsidRPr="0064547A">
        <w:rPr>
          <w:rFonts w:ascii="Verdana" w:hAnsi="Verdana"/>
        </w:rPr>
        <w:t>.</w:t>
      </w:r>
    </w:p>
    <w:p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DE CAPITAL:</w:t>
      </w:r>
    </w:p>
    <w:p w:rsidR="005312E5" w:rsidRDefault="005312E5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</w:t>
      </w:r>
      <w:r w:rsidR="0063273C">
        <w:rPr>
          <w:rFonts w:ascii="Verdana" w:hAnsi="Verdana"/>
        </w:rPr>
        <w:t>os mismos se deben casi exclusivamente a</w:t>
      </w:r>
      <w:r>
        <w:rPr>
          <w:rFonts w:ascii="Verdana" w:hAnsi="Verdana"/>
        </w:rPr>
        <w:t xml:space="preserve"> la diferencia de cambio por la cuota de Portezuelo del Viento</w:t>
      </w:r>
      <w:r w:rsidR="0063273C">
        <w:rPr>
          <w:rFonts w:ascii="Verdana" w:hAnsi="Verdana"/>
        </w:rPr>
        <w:t xml:space="preserve">, como así también la pronta reactivación de algunas obras importantes que </w:t>
      </w:r>
      <w:r>
        <w:rPr>
          <w:rFonts w:ascii="Verdana" w:hAnsi="Verdana"/>
        </w:rPr>
        <w:t>justifican el incremento de los gastos de capital por sobre lo proyectado.</w:t>
      </w:r>
    </w:p>
    <w:p w:rsidR="00A60F11" w:rsidRPr="0064547A" w:rsidRDefault="005312E5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Para el resto de los </w:t>
      </w:r>
      <w:r w:rsidR="002C0B66" w:rsidRPr="0064547A">
        <w:rPr>
          <w:rFonts w:ascii="Verdana" w:hAnsi="Verdana"/>
        </w:rPr>
        <w:t xml:space="preserve">gastos de capital, excepto el equipamiento hospitalario, </w:t>
      </w:r>
      <w:r>
        <w:rPr>
          <w:rFonts w:ascii="Verdana" w:hAnsi="Verdana"/>
        </w:rPr>
        <w:t>se continuó con la política de adecuación según las disponibilidades financieras.</w:t>
      </w:r>
    </w:p>
    <w:p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:rsidR="00185319" w:rsidRPr="0064547A" w:rsidRDefault="00185319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FIGURATIVOS:</w:t>
      </w:r>
    </w:p>
    <w:p w:rsidR="00A60F11" w:rsidRDefault="00BA78D0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Corr</w:t>
      </w:r>
      <w:r w:rsidR="00997D13" w:rsidRPr="0064547A">
        <w:rPr>
          <w:rFonts w:ascii="Verdana" w:hAnsi="Verdana"/>
        </w:rPr>
        <w:t>esponde a un desajuste temporal a corregir en el corto plazo</w:t>
      </w:r>
      <w:r w:rsidR="00A60F11" w:rsidRPr="0064547A">
        <w:rPr>
          <w:rFonts w:ascii="Verdana" w:hAnsi="Verdana"/>
        </w:rPr>
        <w:t>.</w:t>
      </w:r>
    </w:p>
    <w:p w:rsidR="0064547A" w:rsidRDefault="0064547A" w:rsidP="00A60F11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FIGURATIVOS:</w:t>
      </w:r>
    </w:p>
    <w:p w:rsidR="00A60F11" w:rsidRPr="0064547A" w:rsidRDefault="00BD053B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Corresponde a un desajuste temporal a corregir en el corto plazo</w:t>
      </w:r>
      <w:r>
        <w:rPr>
          <w:rFonts w:ascii="Verdana" w:hAnsi="Verdana"/>
        </w:rPr>
        <w:t xml:space="preserve"> originado principalmente en aquellos que d</w:t>
      </w:r>
      <w:r w:rsidR="00596D85">
        <w:rPr>
          <w:rFonts w:ascii="Verdana" w:hAnsi="Verdana"/>
        </w:rPr>
        <w:t xml:space="preserve">ependen de la recaudación </w:t>
      </w:r>
      <w:r>
        <w:rPr>
          <w:rFonts w:ascii="Verdana" w:hAnsi="Verdana"/>
        </w:rPr>
        <w:t xml:space="preserve"> de tributos</w:t>
      </w:r>
      <w:r w:rsidR="00596D85">
        <w:rPr>
          <w:rFonts w:ascii="Verdana" w:hAnsi="Verdana"/>
        </w:rPr>
        <w:t xml:space="preserve"> provinciales</w:t>
      </w:r>
      <w:r w:rsidR="00BA78D0" w:rsidRPr="0064547A">
        <w:rPr>
          <w:rFonts w:ascii="Verdana" w:hAnsi="Verdana"/>
        </w:rPr>
        <w:t>.</w:t>
      </w:r>
    </w:p>
    <w:p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FUENTES Y APLICACIONES FINANCIERAS: </w:t>
      </w:r>
    </w:p>
    <w:p w:rsidR="00A60F11" w:rsidRPr="00FC1518" w:rsidRDefault="00A32002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Tanto las fuentes como las aplicaciones financieras se ajustan estrictamente a la autorización legislativa y </w:t>
      </w:r>
      <w:r w:rsidR="00724A2B">
        <w:rPr>
          <w:rFonts w:ascii="Verdana" w:hAnsi="Verdana"/>
        </w:rPr>
        <w:t>a</w:t>
      </w:r>
      <w:bookmarkStart w:id="0" w:name="_GoBack"/>
      <w:bookmarkEnd w:id="0"/>
      <w:r w:rsidRPr="0064547A">
        <w:rPr>
          <w:rFonts w:ascii="Verdana" w:hAnsi="Verdana"/>
        </w:rPr>
        <w:t>l cronograma de pagos previstos</w:t>
      </w:r>
      <w:r w:rsidR="00A60F11" w:rsidRPr="0064547A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  <w:r w:rsidR="004405F9">
        <w:rPr>
          <w:rFonts w:ascii="Verdana" w:hAnsi="Verdana"/>
        </w:rPr>
        <w:t>No obstante cabe destacar que durante el primer trimestre se observan los mayores esfuerzos en materia de aplicaciones financieras, a fin de dar cumplimiento al pago de la deuda flotante generada durante el ejercicio 2020.</w:t>
      </w:r>
    </w:p>
    <w:p w:rsidR="007970E5" w:rsidRPr="00FC1518" w:rsidRDefault="007970E5" w:rsidP="00533E5C">
      <w:pPr>
        <w:pStyle w:val="Prrafodelista"/>
        <w:jc w:val="both"/>
        <w:rPr>
          <w:rFonts w:ascii="Verdana" w:hAnsi="Verdana"/>
        </w:rPr>
      </w:pPr>
    </w:p>
    <w:sectPr w:rsidR="007970E5" w:rsidRPr="00FC1518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5A0" w:rsidRDefault="004F65A0">
      <w:r>
        <w:separator/>
      </w:r>
    </w:p>
  </w:endnote>
  <w:endnote w:type="continuationSeparator" w:id="0">
    <w:p w:rsidR="004F65A0" w:rsidRDefault="004F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5A0" w:rsidRDefault="004F65A0">
      <w:r>
        <w:separator/>
      </w:r>
    </w:p>
  </w:footnote>
  <w:footnote w:type="continuationSeparator" w:id="0">
    <w:p w:rsidR="004F65A0" w:rsidRDefault="004F6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>
          <wp:extent cx="5400040" cy="77089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2A4C6D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46C88"/>
    <w:rsid w:val="00051811"/>
    <w:rsid w:val="00056330"/>
    <w:rsid w:val="00057CC4"/>
    <w:rsid w:val="00067251"/>
    <w:rsid w:val="00071AFA"/>
    <w:rsid w:val="000C6622"/>
    <w:rsid w:val="000D109C"/>
    <w:rsid w:val="000D1B37"/>
    <w:rsid w:val="000E1847"/>
    <w:rsid w:val="000F38ED"/>
    <w:rsid w:val="00105764"/>
    <w:rsid w:val="0011278E"/>
    <w:rsid w:val="00120186"/>
    <w:rsid w:val="00120CC5"/>
    <w:rsid w:val="00121BF9"/>
    <w:rsid w:val="0013074F"/>
    <w:rsid w:val="00132DB6"/>
    <w:rsid w:val="001441BF"/>
    <w:rsid w:val="00147CF5"/>
    <w:rsid w:val="00151948"/>
    <w:rsid w:val="00174B27"/>
    <w:rsid w:val="00185319"/>
    <w:rsid w:val="001A03A8"/>
    <w:rsid w:val="001B73E8"/>
    <w:rsid w:val="001E44AA"/>
    <w:rsid w:val="001F2471"/>
    <w:rsid w:val="0020149D"/>
    <w:rsid w:val="00202C21"/>
    <w:rsid w:val="00221E72"/>
    <w:rsid w:val="00230011"/>
    <w:rsid w:val="00234D36"/>
    <w:rsid w:val="00251DEC"/>
    <w:rsid w:val="00255E31"/>
    <w:rsid w:val="0026408A"/>
    <w:rsid w:val="00282EAA"/>
    <w:rsid w:val="002902D7"/>
    <w:rsid w:val="00290A8E"/>
    <w:rsid w:val="00291996"/>
    <w:rsid w:val="00291BAD"/>
    <w:rsid w:val="0029728C"/>
    <w:rsid w:val="002B61E6"/>
    <w:rsid w:val="002C0B66"/>
    <w:rsid w:val="002C0B86"/>
    <w:rsid w:val="002C1A57"/>
    <w:rsid w:val="002D5547"/>
    <w:rsid w:val="002E5DF3"/>
    <w:rsid w:val="002F23E4"/>
    <w:rsid w:val="002F3BFB"/>
    <w:rsid w:val="00307D6C"/>
    <w:rsid w:val="00315E51"/>
    <w:rsid w:val="0031721A"/>
    <w:rsid w:val="00320E71"/>
    <w:rsid w:val="00330F2E"/>
    <w:rsid w:val="00331A46"/>
    <w:rsid w:val="00342443"/>
    <w:rsid w:val="00343FF1"/>
    <w:rsid w:val="00356422"/>
    <w:rsid w:val="003569F7"/>
    <w:rsid w:val="00357914"/>
    <w:rsid w:val="00370D74"/>
    <w:rsid w:val="00376621"/>
    <w:rsid w:val="0038372B"/>
    <w:rsid w:val="003837FA"/>
    <w:rsid w:val="00392941"/>
    <w:rsid w:val="003A0689"/>
    <w:rsid w:val="003A6EB6"/>
    <w:rsid w:val="003B05D3"/>
    <w:rsid w:val="003B67A7"/>
    <w:rsid w:val="003B7433"/>
    <w:rsid w:val="003C260A"/>
    <w:rsid w:val="003E717B"/>
    <w:rsid w:val="003F595C"/>
    <w:rsid w:val="00415360"/>
    <w:rsid w:val="00415CDB"/>
    <w:rsid w:val="004349BE"/>
    <w:rsid w:val="004405F9"/>
    <w:rsid w:val="004406E1"/>
    <w:rsid w:val="00441976"/>
    <w:rsid w:val="00452547"/>
    <w:rsid w:val="00452F26"/>
    <w:rsid w:val="004545BB"/>
    <w:rsid w:val="00467D45"/>
    <w:rsid w:val="00472048"/>
    <w:rsid w:val="00483E06"/>
    <w:rsid w:val="004B1243"/>
    <w:rsid w:val="004B3913"/>
    <w:rsid w:val="004C1485"/>
    <w:rsid w:val="004C1ACE"/>
    <w:rsid w:val="004C3288"/>
    <w:rsid w:val="004D2027"/>
    <w:rsid w:val="004E0FA5"/>
    <w:rsid w:val="004E1BC1"/>
    <w:rsid w:val="004F65A0"/>
    <w:rsid w:val="00512501"/>
    <w:rsid w:val="0051515F"/>
    <w:rsid w:val="005312E5"/>
    <w:rsid w:val="00533E5C"/>
    <w:rsid w:val="00540811"/>
    <w:rsid w:val="00563880"/>
    <w:rsid w:val="0056694B"/>
    <w:rsid w:val="0056722B"/>
    <w:rsid w:val="005715CA"/>
    <w:rsid w:val="005771CB"/>
    <w:rsid w:val="00577CDA"/>
    <w:rsid w:val="00581418"/>
    <w:rsid w:val="00596D85"/>
    <w:rsid w:val="005A0EC8"/>
    <w:rsid w:val="005A1E60"/>
    <w:rsid w:val="005A5A94"/>
    <w:rsid w:val="005A6E9E"/>
    <w:rsid w:val="005B7666"/>
    <w:rsid w:val="005C2410"/>
    <w:rsid w:val="005C2928"/>
    <w:rsid w:val="005C3EAB"/>
    <w:rsid w:val="00604B87"/>
    <w:rsid w:val="00606842"/>
    <w:rsid w:val="00607311"/>
    <w:rsid w:val="00607AB1"/>
    <w:rsid w:val="00615A27"/>
    <w:rsid w:val="006167D8"/>
    <w:rsid w:val="0062100B"/>
    <w:rsid w:val="0063273C"/>
    <w:rsid w:val="0064547A"/>
    <w:rsid w:val="006456C1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6E22F4"/>
    <w:rsid w:val="00713CF9"/>
    <w:rsid w:val="00724A2B"/>
    <w:rsid w:val="00737797"/>
    <w:rsid w:val="00744FA5"/>
    <w:rsid w:val="007604AD"/>
    <w:rsid w:val="00765A46"/>
    <w:rsid w:val="00771B0C"/>
    <w:rsid w:val="00771CFA"/>
    <w:rsid w:val="00787819"/>
    <w:rsid w:val="00797010"/>
    <w:rsid w:val="007970E5"/>
    <w:rsid w:val="007A3DA1"/>
    <w:rsid w:val="007B0508"/>
    <w:rsid w:val="007B31D5"/>
    <w:rsid w:val="007B7DB0"/>
    <w:rsid w:val="007C18B4"/>
    <w:rsid w:val="007C5455"/>
    <w:rsid w:val="007D3610"/>
    <w:rsid w:val="007F32A4"/>
    <w:rsid w:val="00801025"/>
    <w:rsid w:val="00806869"/>
    <w:rsid w:val="00806C04"/>
    <w:rsid w:val="008072CF"/>
    <w:rsid w:val="00813A7C"/>
    <w:rsid w:val="00815331"/>
    <w:rsid w:val="0081572B"/>
    <w:rsid w:val="008214AD"/>
    <w:rsid w:val="008258AA"/>
    <w:rsid w:val="00834B92"/>
    <w:rsid w:val="0084321F"/>
    <w:rsid w:val="0085320D"/>
    <w:rsid w:val="00853431"/>
    <w:rsid w:val="008712C8"/>
    <w:rsid w:val="00885BCB"/>
    <w:rsid w:val="0089175B"/>
    <w:rsid w:val="00897AF0"/>
    <w:rsid w:val="008A2852"/>
    <w:rsid w:val="008C552C"/>
    <w:rsid w:val="00910EB2"/>
    <w:rsid w:val="00922311"/>
    <w:rsid w:val="00944FDD"/>
    <w:rsid w:val="009513BE"/>
    <w:rsid w:val="00955A21"/>
    <w:rsid w:val="00967BDD"/>
    <w:rsid w:val="00974A7F"/>
    <w:rsid w:val="00975682"/>
    <w:rsid w:val="009756DB"/>
    <w:rsid w:val="00981CFA"/>
    <w:rsid w:val="009838F5"/>
    <w:rsid w:val="009845D1"/>
    <w:rsid w:val="0099126F"/>
    <w:rsid w:val="00992AE5"/>
    <w:rsid w:val="00995555"/>
    <w:rsid w:val="009970D3"/>
    <w:rsid w:val="00997C6D"/>
    <w:rsid w:val="00997D13"/>
    <w:rsid w:val="009A7C08"/>
    <w:rsid w:val="009B3853"/>
    <w:rsid w:val="009B72F1"/>
    <w:rsid w:val="009C7E91"/>
    <w:rsid w:val="009D02E6"/>
    <w:rsid w:val="009D7340"/>
    <w:rsid w:val="009E4B59"/>
    <w:rsid w:val="00A2788A"/>
    <w:rsid w:val="00A30C61"/>
    <w:rsid w:val="00A313F9"/>
    <w:rsid w:val="00A32002"/>
    <w:rsid w:val="00A34FAA"/>
    <w:rsid w:val="00A47EA1"/>
    <w:rsid w:val="00A53C4F"/>
    <w:rsid w:val="00A602AC"/>
    <w:rsid w:val="00A60F11"/>
    <w:rsid w:val="00A62C84"/>
    <w:rsid w:val="00A85EBF"/>
    <w:rsid w:val="00AA12D2"/>
    <w:rsid w:val="00AB226B"/>
    <w:rsid w:val="00AC25FC"/>
    <w:rsid w:val="00AC36B2"/>
    <w:rsid w:val="00AD71B4"/>
    <w:rsid w:val="00AE3CCE"/>
    <w:rsid w:val="00B10B68"/>
    <w:rsid w:val="00B11F7C"/>
    <w:rsid w:val="00B21B04"/>
    <w:rsid w:val="00B21BCF"/>
    <w:rsid w:val="00B36B4F"/>
    <w:rsid w:val="00B37136"/>
    <w:rsid w:val="00B42205"/>
    <w:rsid w:val="00B675A1"/>
    <w:rsid w:val="00B720A9"/>
    <w:rsid w:val="00B75FE2"/>
    <w:rsid w:val="00B952DD"/>
    <w:rsid w:val="00B9769E"/>
    <w:rsid w:val="00BA78D0"/>
    <w:rsid w:val="00BC0376"/>
    <w:rsid w:val="00BD053B"/>
    <w:rsid w:val="00BD1636"/>
    <w:rsid w:val="00BD262B"/>
    <w:rsid w:val="00BD38DE"/>
    <w:rsid w:val="00BD3FA4"/>
    <w:rsid w:val="00BD5463"/>
    <w:rsid w:val="00BE3093"/>
    <w:rsid w:val="00BE35F0"/>
    <w:rsid w:val="00BE7CAE"/>
    <w:rsid w:val="00BF013B"/>
    <w:rsid w:val="00BF7E9E"/>
    <w:rsid w:val="00C0484E"/>
    <w:rsid w:val="00C12631"/>
    <w:rsid w:val="00C1317E"/>
    <w:rsid w:val="00C263D1"/>
    <w:rsid w:val="00C40E8F"/>
    <w:rsid w:val="00C518CD"/>
    <w:rsid w:val="00C577BA"/>
    <w:rsid w:val="00C962F9"/>
    <w:rsid w:val="00CA5954"/>
    <w:rsid w:val="00CB296A"/>
    <w:rsid w:val="00CB7C0A"/>
    <w:rsid w:val="00CD0A87"/>
    <w:rsid w:val="00CD1C05"/>
    <w:rsid w:val="00CD23BC"/>
    <w:rsid w:val="00CD3662"/>
    <w:rsid w:val="00CE1481"/>
    <w:rsid w:val="00CF41C8"/>
    <w:rsid w:val="00CF672C"/>
    <w:rsid w:val="00CF6D1D"/>
    <w:rsid w:val="00D07652"/>
    <w:rsid w:val="00D20248"/>
    <w:rsid w:val="00D23FF5"/>
    <w:rsid w:val="00D26991"/>
    <w:rsid w:val="00D310AF"/>
    <w:rsid w:val="00D36ABF"/>
    <w:rsid w:val="00D44E96"/>
    <w:rsid w:val="00D4591B"/>
    <w:rsid w:val="00D462BA"/>
    <w:rsid w:val="00D70874"/>
    <w:rsid w:val="00D7111D"/>
    <w:rsid w:val="00D751B6"/>
    <w:rsid w:val="00D861A2"/>
    <w:rsid w:val="00D90083"/>
    <w:rsid w:val="00D94EA6"/>
    <w:rsid w:val="00DA54B6"/>
    <w:rsid w:val="00DE1E57"/>
    <w:rsid w:val="00DE3EBD"/>
    <w:rsid w:val="00DE55B8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63F2"/>
    <w:rsid w:val="00E375E8"/>
    <w:rsid w:val="00E506F5"/>
    <w:rsid w:val="00E5357F"/>
    <w:rsid w:val="00E6143B"/>
    <w:rsid w:val="00E722AC"/>
    <w:rsid w:val="00E75058"/>
    <w:rsid w:val="00EB2DDF"/>
    <w:rsid w:val="00EC1A6A"/>
    <w:rsid w:val="00EC5B6D"/>
    <w:rsid w:val="00EE2D10"/>
    <w:rsid w:val="00EE7743"/>
    <w:rsid w:val="00EF126D"/>
    <w:rsid w:val="00EF4DBC"/>
    <w:rsid w:val="00F11B08"/>
    <w:rsid w:val="00F16EA3"/>
    <w:rsid w:val="00F20B1D"/>
    <w:rsid w:val="00F424A5"/>
    <w:rsid w:val="00F502B1"/>
    <w:rsid w:val="00F52F2F"/>
    <w:rsid w:val="00F550EC"/>
    <w:rsid w:val="00F62346"/>
    <w:rsid w:val="00F635E3"/>
    <w:rsid w:val="00F65B82"/>
    <w:rsid w:val="00F676B1"/>
    <w:rsid w:val="00FA0BE2"/>
    <w:rsid w:val="00FA224F"/>
    <w:rsid w:val="00FB2E9B"/>
    <w:rsid w:val="00FB54D1"/>
    <w:rsid w:val="00FC1518"/>
    <w:rsid w:val="00FC3ED0"/>
    <w:rsid w:val="00FC5009"/>
    <w:rsid w:val="00FC7099"/>
    <w:rsid w:val="00FC787A"/>
    <w:rsid w:val="00FE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5:docId w15:val="{282E986B-948A-4711-8ADC-604B395E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408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Luciana Orsini</cp:lastModifiedBy>
  <cp:revision>3</cp:revision>
  <cp:lastPrinted>2021-02-26T13:59:00Z</cp:lastPrinted>
  <dcterms:created xsi:type="dcterms:W3CDTF">2021-05-28T19:15:00Z</dcterms:created>
  <dcterms:modified xsi:type="dcterms:W3CDTF">2021-05-28T20:49:00Z</dcterms:modified>
</cp:coreProperties>
</file>