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BA" w:rsidRDefault="00D46DBA" w:rsidP="00D46DBA">
      <w:pPr>
        <w:pStyle w:val="Ttulo3"/>
      </w:pPr>
      <w:r>
        <w:t>Ley 7.314 – Acordada 3.949</w:t>
      </w:r>
    </w:p>
    <w:p w:rsidR="00D46DBA" w:rsidRDefault="00D46DBA" w:rsidP="00D46DBA"/>
    <w:p w:rsidR="00D46DBA" w:rsidRDefault="00D46DBA" w:rsidP="00D46DBA">
      <w:pPr>
        <w:pStyle w:val="Ttulo2"/>
      </w:pPr>
      <w:r>
        <w:t>ANEXO 4</w:t>
      </w:r>
    </w:p>
    <w:p w:rsidR="00D46DBA" w:rsidRDefault="00D46DBA" w:rsidP="00D46DBA"/>
    <w:p w:rsidR="00D46DBA" w:rsidRDefault="00D46DBA" w:rsidP="00D46DBA">
      <w:r>
        <w:t>Explicación de los desvíos entre lo programado y lo ejecutado:</w:t>
      </w:r>
    </w:p>
    <w:p w:rsidR="00D46DBA" w:rsidRDefault="00D46DBA" w:rsidP="00D46DBA"/>
    <w:p w:rsidR="00D46DBA" w:rsidRDefault="00D46DBA" w:rsidP="00D46DBA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La diferencia se debe a que en  el segundo trimestre ingresaron fondos provenientes de Nación a fin de enfrentar gastos en virtud de la emergencia sanitaria de público conocimiento debido al </w:t>
      </w:r>
      <w:proofErr w:type="spellStart"/>
      <w:r>
        <w:t>Covid</w:t>
      </w:r>
      <w:proofErr w:type="spellEnd"/>
      <w:r>
        <w:t xml:space="preserve"> 19,  dicho ingreso de fondos no pudo ser tenido en cuenta al realizar la programación financiera, por lo que se genera la diferencia. </w:t>
      </w:r>
    </w:p>
    <w:p w:rsidR="00D46DBA" w:rsidRDefault="00D46DBA" w:rsidP="00D46DBA">
      <w:pPr>
        <w:ind w:left="360"/>
        <w:jc w:val="both"/>
        <w:rPr>
          <w:color w:val="FF0000"/>
        </w:rPr>
      </w:pPr>
    </w:p>
    <w:p w:rsidR="00D46DBA" w:rsidRPr="00703366" w:rsidRDefault="00D46DBA" w:rsidP="00D46DBA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Gastos Corrientes</w:t>
      </w:r>
      <w:r>
        <w:t xml:space="preserve">: La diferencia se debe a retrasos en las imputaciones de gastos debido a la situación actual de emergencia sanitaria por el </w:t>
      </w:r>
      <w:proofErr w:type="spellStart"/>
      <w:r>
        <w:t>Covid</w:t>
      </w:r>
      <w:proofErr w:type="spellEnd"/>
      <w:r>
        <w:t xml:space="preserve"> 19, que ha traído aparejado dificultades en la concreción de compras, licitaciones y gastos en general. </w:t>
      </w:r>
    </w:p>
    <w:p w:rsidR="00D46DBA" w:rsidRDefault="00D46DBA" w:rsidP="00D46DBA">
      <w:pPr>
        <w:ind w:left="360"/>
        <w:jc w:val="both"/>
      </w:pPr>
    </w:p>
    <w:p w:rsidR="00D46DBA" w:rsidRDefault="00D46DBA" w:rsidP="00D46DBA">
      <w:pPr>
        <w:ind w:left="360"/>
        <w:jc w:val="both"/>
        <w:rPr>
          <w:color w:val="FF0000"/>
        </w:rPr>
      </w:pPr>
    </w:p>
    <w:p w:rsidR="00D46DBA" w:rsidRDefault="00D46DBA" w:rsidP="00D46DBA">
      <w:pPr>
        <w:numPr>
          <w:ilvl w:val="0"/>
          <w:numId w:val="2"/>
        </w:numPr>
        <w:jc w:val="both"/>
        <w:rPr>
          <w:color w:val="FF0000"/>
        </w:rPr>
      </w:pPr>
      <w:r w:rsidRPr="00F8182E">
        <w:rPr>
          <w:b/>
          <w:u w:val="single"/>
        </w:rPr>
        <w:t>Gastos de Capital</w:t>
      </w:r>
      <w:r>
        <w:rPr>
          <w:b/>
        </w:rPr>
        <w:t xml:space="preserve">: </w:t>
      </w:r>
      <w:r>
        <w:t xml:space="preserve">No existe diferencia entre lo programado y lo ejecutado. </w:t>
      </w:r>
    </w:p>
    <w:p w:rsidR="00D46DBA" w:rsidRPr="00F8182E" w:rsidRDefault="00D46DBA" w:rsidP="00D46DBA">
      <w:pPr>
        <w:ind w:left="360"/>
        <w:jc w:val="both"/>
      </w:pPr>
    </w:p>
    <w:p w:rsidR="00D46DBA" w:rsidRDefault="00D46DBA" w:rsidP="00D46DBA">
      <w:pPr>
        <w:ind w:left="360"/>
        <w:jc w:val="both"/>
      </w:pPr>
    </w:p>
    <w:p w:rsidR="00D46DBA" w:rsidRDefault="00D46DBA" w:rsidP="00D46DBA">
      <w:pPr>
        <w:numPr>
          <w:ilvl w:val="0"/>
          <w:numId w:val="2"/>
        </w:numPr>
        <w:jc w:val="both"/>
        <w:rPr>
          <w:color w:val="FF0000"/>
        </w:rPr>
      </w:pPr>
      <w:r w:rsidRPr="00703366">
        <w:rPr>
          <w:b/>
          <w:u w:val="single"/>
        </w:rPr>
        <w:t>Recursos Figurativos:</w:t>
      </w:r>
      <w:r w:rsidRPr="00703366">
        <w:rPr>
          <w:b/>
        </w:rPr>
        <w:tab/>
      </w:r>
      <w:r>
        <w:t xml:space="preserve">La diferencia se debe a que la transferencia de recursos  figurativos por parte de la Provincia va acompañada del </w:t>
      </w:r>
      <w:proofErr w:type="spellStart"/>
      <w:r>
        <w:t>devengamiento</w:t>
      </w:r>
      <w:proofErr w:type="spellEnd"/>
      <w:r>
        <w:t xml:space="preserve"> de los gastos, al verse afectada la ejecución de los gastos, los recursos recibidos son menores a los programados. </w:t>
      </w:r>
    </w:p>
    <w:p w:rsidR="00D46DBA" w:rsidRPr="00761DD4" w:rsidRDefault="00D46DBA" w:rsidP="00D46DBA">
      <w:pPr>
        <w:ind w:left="360"/>
        <w:jc w:val="both"/>
      </w:pPr>
    </w:p>
    <w:p w:rsidR="00D46DBA" w:rsidRPr="00761DD4" w:rsidRDefault="00D46DBA" w:rsidP="00D46DBA"/>
    <w:p w:rsidR="00D46DBA" w:rsidRPr="00E706BC" w:rsidRDefault="00D46DBA" w:rsidP="00D46DBA">
      <w:pPr>
        <w:rPr>
          <w:b/>
          <w:sz w:val="20"/>
          <w:szCs w:val="20"/>
        </w:rPr>
      </w:pPr>
    </w:p>
    <w:p w:rsidR="00F72C68" w:rsidRPr="00E706BC" w:rsidRDefault="00F72C68" w:rsidP="00F72C68">
      <w:pPr>
        <w:rPr>
          <w:b/>
          <w:sz w:val="20"/>
          <w:szCs w:val="20"/>
        </w:rPr>
      </w:pP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C5C" w:rsidRDefault="00673C5C" w:rsidP="00632FDA">
      <w:r>
        <w:separator/>
      </w:r>
    </w:p>
  </w:endnote>
  <w:endnote w:type="continuationSeparator" w:id="1">
    <w:p w:rsidR="00673C5C" w:rsidRDefault="00673C5C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C5C" w:rsidRDefault="00673C5C" w:rsidP="00632FDA">
      <w:r>
        <w:separator/>
      </w:r>
    </w:p>
  </w:footnote>
  <w:footnote w:type="continuationSeparator" w:id="1">
    <w:p w:rsidR="00673C5C" w:rsidRDefault="00673C5C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9451C7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73C5C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451C7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46DBA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673C5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73C5C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673C5C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semiHidden/>
    <w:rsid w:val="00673C5C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673C5C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2020-05-21T12:21:00Z</dcterms:created>
  <dcterms:modified xsi:type="dcterms:W3CDTF">2020-08-25T13:15:00Z</dcterms:modified>
</cp:coreProperties>
</file>