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lang w:val="es-MX"/>
        </w:rPr>
      </w:pPr>
    </w:p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c)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Causas de los incumplimientos de las metas, en caso de existir.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Ministerio Público Fiscal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>20</w:t>
      </w:r>
      <w:r>
        <w:rPr>
          <w:b/>
          <w:lang w:val="es-MX"/>
        </w:rPr>
        <w:t xml:space="preserve">                                                      Trimestre: </w:t>
      </w:r>
      <w:r>
        <w:rPr>
          <w:b/>
          <w:lang w:val="es-AR"/>
        </w:rPr>
        <w:t>SEGUNDO</w:t>
      </w:r>
    </w:p>
    <w:p>
      <w:pPr>
        <w:tabs>
          <w:tab w:val="left" w:pos="4680"/>
        </w:tabs>
        <w:spacing w:line="360" w:lineRule="auto"/>
        <w:ind w:left="720"/>
        <w:jc w:val="both"/>
        <w:rPr>
          <w:b/>
          <w:bCs/>
        </w:rPr>
      </w:pPr>
      <w:r>
        <w:rPr>
          <w:lang w:val="es-MX"/>
        </w:rPr>
        <w:t>“</w:t>
      </w:r>
      <w:r>
        <w:rPr>
          <w:b/>
          <w:bCs/>
        </w:rPr>
        <w:t>Información Artículo 27 Ley 7.314 y 5° inc c) Acuerdo 3949 y su modifc. 4.559”.</w:t>
      </w:r>
    </w:p>
    <w:p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 xml:space="preserve">RECURSOS CORRIENTES: 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Dada la paralización económica y el estancamiento financiero generado por Covid 19, se programaron recursos de manera austera. Los recursos propios alcanzan la mitad de la programación y adicionando la proporción correspondiente a este MPF de la recaudación de la Tasa de Justicia, la exposición del Anexo I para el trimestre ha sido superado, aunque razonablemente los ingresos son en menor medida que en ejercicios regulares anteriores.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 xml:space="preserve">Se destaca el aporte extraordinario voluntario de la planta de personal del Ministerio Público Fiscal, expuesto en las </w:t>
      </w:r>
      <w:r>
        <w:rPr>
          <w:rFonts w:hint="default"/>
          <w:lang w:val="es-AR"/>
        </w:rPr>
        <w:t xml:space="preserve">“Remesas para destinos varios” (anexo 3), </w:t>
      </w:r>
      <w:r>
        <w:rPr>
          <w:lang w:val="es-AR"/>
        </w:rPr>
        <w:t xml:space="preserve"> cuya recaudación se aplica a la compra de equipamiento de Análisis y Bioseguridad del Laboratorio del Cuerpo Médico Forense. Aplicable a las nuevas necesidades surgidas por pandemia.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MX"/>
        </w:rPr>
        <w:t>GASTOS CORRIENTES</w:t>
      </w:r>
      <w:r>
        <w:rPr>
          <w:lang w:val="es-AR"/>
        </w:rPr>
        <w:t xml:space="preserve"> y GASTOS DE CAPITAL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En virtud de la minimización de actividades no esenciales para el funcionamiento del organismo, los gastos se traducen en una proporción menor a la programada ya en situación de pandemia (14%), manteniéndose un criterio de austeridad concordante.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outlineLvl w:val="9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SERVICIO ADMINISTRATIVO FINANCIERO –MIN. PUBLICO FISCAL-</w:t>
      </w:r>
    </w:p>
    <w:p>
      <w:pPr>
        <w:spacing w:line="276" w:lineRule="auto"/>
        <w:jc w:val="both"/>
      </w:pPr>
      <w:r>
        <w:rPr>
          <w:rFonts w:ascii="Arial" w:hAnsi="Arial" w:cs="Arial"/>
          <w:b/>
          <w:bCs/>
          <w:sz w:val="16"/>
          <w:szCs w:val="16"/>
        </w:rPr>
        <w:t xml:space="preserve">Mendoza,  </w:t>
      </w:r>
      <w:r>
        <w:rPr>
          <w:rFonts w:ascii="Arial" w:hAnsi="Arial" w:cs="Arial"/>
          <w:b/>
          <w:bCs/>
          <w:sz w:val="16"/>
          <w:szCs w:val="16"/>
          <w:lang w:val="es-AR"/>
        </w:rPr>
        <w:t>agosto</w:t>
      </w:r>
      <w:r>
        <w:rPr>
          <w:rFonts w:ascii="Arial" w:hAnsi="Arial" w:cs="Arial"/>
          <w:b/>
          <w:bCs/>
          <w:sz w:val="16"/>
          <w:szCs w:val="16"/>
        </w:rPr>
        <w:t xml:space="preserve"> 2020.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embedSystemFonts/>
  <w:mirrorMargins w:val="1"/>
  <w:documentProtection w:enforcement="0"/>
  <w:defaultTabStop w:val="708"/>
  <w:autoHyphenation/>
  <w:hyphenationZone w:val="425"/>
  <w:evenAndOddHeaders w:val="1"/>
  <w:drawingGridHorizontalSpacing w:val="237"/>
  <w:displayVerticalDrawingGridEvery w:val="2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55884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E0B3E3F"/>
    <w:rsid w:val="1CD55884"/>
    <w:rsid w:val="5E902932"/>
    <w:rsid w:val="678B1ACA"/>
    <w:rsid w:val="7425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Office_10.2.0.7516_F1E327BC-269C-435d-A152-05C5408002CA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2020-08-13T15:19:00Z</dcterms:created>
  <dc:creator>Sonia Colobini</dc:creator>
  <cp:lastModifiedBy>Sonia Colobini</cp:lastModifiedBy>
  <dcterms:modified xsi:type="dcterms:W3CDTF">2020-08-13T16:07:32Z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2058-10.2.0.7516</vt:lpwstr>
  </property>
</Properties>
</file>